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IRG — Vorbereitung der 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Reichen die Auslieferungsunterlagen zur Beurteilung der Zulässigkeit der Auslieferung nicht aus, so entscheidet das Oberlandesgericht erst, wenn dem ersuchenden Staat Gelegenheit gegeben worden ist, ergänzende Unterlagen beizubringen. Für ihre Beibringung kann eine Frist gesetzt werden.</w:t>
      </w:r>
    </w:p>
    <w:p>
      <w:r>
        <w:t xml:space="preserve">(2) Das Oberlandesgericht kann den Verfolgten vernehmen. Es kann sonstige Beweise über die Zulässigkeit der Auslieferung erheben. Im Fall des § 10 Abs. 2 erstreckt sich die Beweiserhebung über die Zulässigkeit der Auslieferung auch darauf, ob der Verfolgte der ihm zur Last gelegten Tat hinreichend verdächtig erscheint. Art und Umfang der Beweisaufnahme bestimmt das Oberlandesgericht, ohne durch Anträge, Verzichte oder frühere Beschlüsse gebunden zu sein.</w:t>
      </w:r>
    </w:p>
    <w:p>
      <w:r>
        <w:t xml:space="preserve">(3) Das Oberlandesgericht kann eine mündliche Verhandlung durchführen.</w:t>
      </w:r>
    </w:p>
    <w:p>
      <w:r>
        <w:rPr>
          <w:color w:val="555555"/>
          <w:sz w:val="17"/>
        </w:rPr>
        <w:t xml:space="preserve">Zitiervorschlag: § 30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