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IRG — Auslieferung zur Verfolgung oder zur Vollstreckung</w:t>
      </w:r>
    </w:p>
    <w:p>
      <w:r>
        <w:rPr>
          <w:color w:val="555555"/>
          <w:sz w:val="18"/>
        </w:rPr>
        <w:t xml:space="preserve">Gesetz über die internationale Rechtshilfe in Strafsachen</w:t>
      </w:r>
    </w:p>
    <w:p>
      <w:r>
        <w:rPr>
          <w:color w:val="555555"/>
          <w:sz w:val="18"/>
        </w:rPr>
        <w:t xml:space="preserve">Stand: 10.06.2019 (konsolidierte Textfassung, kein amtliches Inkrafttretensdatum)</w:t>
      </w:r>
    </w:p>
    <w:p>
      <w:r>
        <w:t xml:space="preserve">(1) Die Auslieferung ist nur zulässig, wenn die Tat auch nach deutschem Recht eine rechtswidrige Tat ist, die den Tatbestand eines Strafgesetzes verwirklicht, oder wenn sie bei sinngemäßer Umstellung des Sachverhalts auch nach deutschem Recht eine solche Tat wäre.</w:t>
      </w:r>
    </w:p>
    <w:p>
      <w:r>
        <w:t xml:space="preserve">(2) Die Auslieferung zur Verfolgung ist nur zulässig, wenn die Tat nach deutschem Recht im Höchstmaß mit Freiheitsstrafe von mindestens einem Jahr bedroht ist oder wenn sie bei sinngemäßer Umstellung des Sachverhalts nach deutschem Recht mit einer solchen Strafe bedroht wäre.</w:t>
      </w:r>
    </w:p>
    <w:p>
      <w:r>
        <w:t xml:space="preserve">(3) Die Auslieferung zur Vollstreckung ist nur zulässig, wenn wegen der Tat die Auslieferung zur Verfolgung zulässig wäre und wenn eine freiheitsentziehende Sanktion zu vollstrecken ist. Sie ist ferner nur zulässig, wenn zu erwarten ist, daß die noch zu vollstreckende freiheitsentziehende Sanktion oder die Summe der noch zu vollstreckenden freiheitsentziehenden Sanktionen mindestens vier Monate beträgt.</w:t>
      </w:r>
    </w:p>
    <w:p>
      <w:r>
        <w:rPr>
          <w:color w:val="555555"/>
          <w:sz w:val="17"/>
        </w:rPr>
        <w:t xml:space="preserve">Zitiervorschlag: § 3 IRG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https://recht.nulegal.eu/gesetze/IRG/3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