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IRG — Vollzug der Haft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den Vollzug der vorläufigen Auslieferungshaft, der Auslieferungshaft und der Haft auf Grund einer Anordnung des Richters beim Amtsgericht gelten die Vorschriften über den Vollzug der Untersuchungshaft sowie § 119 der Strafprozessordnung entsprechend.</w:t>
      </w:r>
    </w:p>
    <w:p>
      <w:r>
        <w:t xml:space="preserve">(2) Die Staatsanwaltschaft bei dem Oberlandesgericht bestimmt die Anstalt, in welcher der Verfolgte zu verwahren ist.</w:t>
      </w:r>
    </w:p>
    <w:p>
      <w:r>
        <w:t xml:space="preserve">(3) Die richterlichen Verfügungen trifft der Vorsitzende des zuständigen Senats des Oberlandesgerichts.</w:t>
      </w:r>
    </w:p>
    <w:p>
      <w:r>
        <w:rPr>
          <w:color w:val="555555"/>
          <w:sz w:val="17"/>
        </w:rPr>
        <w:t xml:space="preserve">Zitiervorschlag: § 27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