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IRG — Aussetzung des Vollzugs des Auslieferungshaftbefehls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Oberlandesgericht kann den Vollzug des Auslieferungshaftbefehls aussetzen, wenn weniger einschneidende Maßnahmen die Gewähr bieten, daß der Zweck der vorläufigen Auslieferungshaft oder der Auslieferungshaft auch durch sie erreicht wird.</w:t>
      </w:r>
    </w:p>
    <w:p>
      <w:r>
        <w:t xml:space="preserve">(2) § 116 Abs. 1 Satz 2, Abs. 4, §§ 116a, 123 und 124 Abs. 1, Abs. 2 Satz 1, Abs. 3 der Strafprozeßordnung sowie § 72 Abs. 1, 4 Satz 1 des Jugendgerichtsgesetzes gelten entsprechend.</w:t>
      </w:r>
    </w:p>
    <w:p>
      <w:r>
        <w:rPr>
          <w:color w:val="555555"/>
          <w:sz w:val="17"/>
        </w:rPr>
        <w:t xml:space="preserve">Zitiervorschlag: § 25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