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IRG — Aufhebung des Auslieferungshaftbefehls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Auslieferungshaftbefehl ist aufzuheben, sobald die Voraussetzungen der vorläufigen Auslieferungshaft oder der Auslieferungshaft nicht mehr vorliegen oder die Auslieferung für unzulässig erklärt wird.</w:t>
      </w:r>
    </w:p>
    <w:p>
      <w:r>
        <w:t xml:space="preserve">(2) Der Auslieferungshaftbefehl ist auch aufzuheben, wenn die Staatsanwaltschaft bei dem Oberlandesgericht dies beantragt. Gleichzeitig mit dem Antrag ordnet sie die Freilassung des Verfolgten an.</w:t>
      </w:r>
    </w:p>
    <w:p>
      <w:r>
        <w:rPr>
          <w:color w:val="555555"/>
          <w:sz w:val="17"/>
        </w:rPr>
        <w:t xml:space="preserve">Zitiervorschlag: § 24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