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IRG — Bekanntgabe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der Verfolgte festgenommen, so ist ihm der Grund der Festnahme mitzuteilen.</w:t>
      </w:r>
    </w:p>
    <w:p>
      <w:r>
        <w:t xml:space="preserve">(2) Liegt ein Auslieferungshaftbefehl vor, so ist er dem Verfolgten unverzüglich bekanntzugeben. Der Verfolgte erhält eine Abschrift.</w:t>
      </w:r>
    </w:p>
    <w:p>
      <w:r>
        <w:rPr>
          <w:color w:val="555555"/>
          <w:sz w:val="17"/>
        </w:rPr>
        <w:t xml:space="preserve">Zitiervorschlag: § 20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