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IRG — Fahndungsmaßnahmen</w:t>
      </w:r>
    </w:p>
    <w:p>
      <w:r>
        <w:rPr>
          <w:color w:val="555555"/>
          <w:sz w:val="18"/>
        </w:rPr>
        <w:t xml:space="preserve">Gesetz über die internationale Rechtshilfe in Strafsachen</w:t>
      </w:r>
    </w:p>
    <w:p>
      <w:r>
        <w:rPr>
          <w:color w:val="555555"/>
          <w:sz w:val="18"/>
        </w:rPr>
        <w:t xml:space="preserve">Stand: 10.06.2019 (konsolidierte Textfassung, kein amtliches Inkrafttretensdatum)</w:t>
      </w:r>
    </w:p>
    <w:p>
      <w:r>
        <w:t xml:space="preserve">Liegt ein Auslieferungsersuchen vor und ist der Aufenthalt des Verfolgten nicht bekannt, so können die erforderlichen Maßnahmen zur Feststellung des Aufenthaltes und zur Festnahme des Verfolgten ergriffen werden. Zur Anordnung einzelner Fahndungsmaßnahmen bedarf es keines gesonderten Ersuchens. Zuständig für die Ausschreibung zur Festnahme ist die Staatsanwaltschaft bei dem Oberlandesgericht. Die Vorschriften des Abschnitts 9a der Strafprozessordnung sind entsprechend anwendbar.</w:t>
      </w:r>
    </w:p>
    <w:p>
      <w:r>
        <w:rPr>
          <w:color w:val="555555"/>
          <w:sz w:val="17"/>
        </w:rPr>
        <w:t xml:space="preserve">Zitiervorschlag: § 18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