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IRG — Auslieferungshaftbefehl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vorläufige Auslieferungshaft und die Auslieferungshaft werden durch schriftlichen Haftbefehl (Auslieferungshaftbefehl) des Oberlandesgerichts angeordnet.</w:t>
      </w:r>
    </w:p>
    <w:p>
      <w:r>
        <w:t xml:space="preserve">(2) In dem Auslieferungshaftbefehl sind anzuführen</w:t>
      </w:r>
    </w:p>
    <w:p>
      <w:pPr>
        <w:ind w:left="420"/>
      </w:pPr>
      <w:r>
        <w:t xml:space="preserve">1. der Verfolgte,</w:t>
      </w:r>
    </w:p>
    <w:p>
      <w:pPr>
        <w:ind w:left="420"/>
      </w:pPr>
      <w:r>
        <w:t xml:space="preserve">2. der Staat, an den die Auslieferung nach den Umständen des Falles in Betracht kommt,</w:t>
      </w:r>
    </w:p>
    <w:p>
      <w:pPr>
        <w:ind w:left="420"/>
      </w:pPr>
      <w:r>
        <w:t xml:space="preserve">3. die dem Verfolgten zur Last gelegte Tat,</w:t>
      </w:r>
    </w:p>
    <w:p>
      <w:pPr>
        <w:ind w:left="420"/>
      </w:pPr>
      <w:r>
        <w:t xml:space="preserve">4. das Ersuchen oder im Fall des § 16 Abs. 1 Nr. 2 die Tatsachen, aus denen sich ergibt, daß der Verfolgte einer Tat, die zu seiner Auslieferung Anlaß geben kann, dringend verdächtig ist, sowie</w:t>
      </w:r>
    </w:p>
    <w:p>
      <w:pPr>
        <w:ind w:left="420"/>
      </w:pPr>
      <w:r>
        <w:t xml:space="preserve">5. der Haftgrund und die Tatsachen, aus denen er sich ergibt.</w:t>
      </w:r>
    </w:p>
    <w:p>
      <w:r>
        <w:rPr>
          <w:color w:val="555555"/>
          <w:sz w:val="17"/>
        </w:rPr>
        <w:t xml:space="preserve">Zitiervorschlag: § 17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