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IRG — Auslieferungshaft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Eingang des Auslieferungsersuchens kann gegen den Verfolgten die Auslieferungshaft angeordnet werden, wenn</w:t>
      </w:r>
    </w:p>
    <w:p>
      <w:pPr>
        <w:ind w:left="420"/>
      </w:pPr>
      <w:r>
        <w:t xml:space="preserve">1. die Gefahr besteht, daß er sich dem Auslieferungsverfahren oder der Durchführung der Auslieferung entziehen werde, oder</w:t>
      </w:r>
    </w:p>
    <w:p>
      <w:pPr>
        <w:ind w:left="420"/>
      </w:pPr>
      <w:r>
        <w:t xml:space="preserve">2. auf Grund bestimmter Tatsachen der dringende Verdacht begründet ist, daß der Verfolgte die Ermittlung der Wahrheit in dem ausländischen Verfahren oder im Auslieferungsverfahren erschweren werde.</w:t>
      </w:r>
    </w:p>
    <w:p>
      <w:r>
        <w:t xml:space="preserve">(2) Absatz 1 gilt nicht, wenn die Auslieferung von vornherein unzulässig erscheint.</w:t>
      </w:r>
    </w:p>
    <w:p>
      <w:r>
        <w:rPr>
          <w:color w:val="555555"/>
          <w:sz w:val="17"/>
        </w:rPr>
        <w:t xml:space="preserve">Zitiervorschlag: § 15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