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IRG — Spezialität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Auslieferung ist nur zulässig, wenn gewährleistet ist, daß der Verfolgte</w:t>
      </w:r>
    </w:p>
    <w:p>
      <w:pPr>
        <w:ind w:left="420"/>
      </w:pPr>
      <w:r>
        <w:t xml:space="preserve">1. in dem ersuchenden Staat ohne deutsche Zustimmung aus keinem vor seiner Überstellung eingetretenen Grund mit Ausnahme der Tat, derentwegen die Auslieferung bewilligt worden ist, bestraft, einer Beschränkung seiner persönlichen Freiheit unterworfen oder durch Maßnahmen, die nicht auch in seiner Abwesenheit getroffen werden können, verfolgt werden wird,</w:t>
      </w:r>
    </w:p>
    <w:p>
      <w:pPr>
        <w:ind w:left="420"/>
      </w:pPr>
      <w:r>
        <w:t xml:space="preserve">2. nicht ohne deutsche Zustimmung an einen dritten Staat weitergeliefert, überstellt oder in einen dritten Staat abgeschoben werden wird und</w:t>
      </w:r>
    </w:p>
    <w:p>
      <w:pPr>
        <w:ind w:left="420"/>
      </w:pPr>
      <w:r>
        <w:t xml:space="preserve">3. den ersuchenden Staat nach dem endgültigen Abschluß des Verfahrens, dessentwegen seine Auslieferung bewilligt worden ist, verlassen darf.</w:t>
      </w:r>
    </w:p>
    <w:p>
      <w:r>
        <w:t xml:space="preserve">(2) Die Bindung des ersuchenden Staates an die Spezialität darf nur entfallen, wenn</w:t>
      </w:r>
    </w:p>
    <w:p>
      <w:pPr>
        <w:ind w:left="420"/>
      </w:pPr>
      <w:r>
        <w:t xml:space="preserve">1. die deutsche Zustimmung zur Verfolgung oder zur Vollstreckung einer Strafe oder einer sonstigen Sanktion hinsichtlich einer weiteren Tat (§ 35) oder zur Weiterlieferung, Überstellung oder Abschiebung an einen anderen ausländischen Staat (§ 36) erteilt worden ist,</w:t>
      </w:r>
    </w:p>
    <w:p>
      <w:pPr>
        <w:ind w:left="420"/>
      </w:pPr>
      <w:r>
        <w:t xml:space="preserve">2. der Verfolgte den ersuchenden Staat innerhalb eines Monats nach dem endgültigen Abschluß des Verfahrens, dessentwegen seine Auslieferung bewilligt worden ist, nicht verlassen hat, obwohl er dazu das Recht und die Möglichkeit hatte, oder</w:t>
      </w:r>
    </w:p>
    <w:p>
      <w:pPr>
        <w:ind w:left="420"/>
      </w:pPr>
      <w:r>
        <w:t xml:space="preserve">3. der Verfolgte, nachdem er den ersuchenden Staat verlassen hatte, dorthin zurückgekehrt ist oder von einem dritten Staat zurücküberstellt worden ist. Das Recht des ersuchenden Staates, den Verfolgten zur Vorbereitung eines Ersuchens nach § 35 zu vernehmen, bleibt unberührt.</w:t>
      </w:r>
    </w:p>
    <w:p>
      <w:r>
        <w:t xml:space="preserve">(3) Eine bedingte Freilassung ohne eine die Bewegungsfreiheit des Verfolgten einschränkende Anordnung steht dem endgültigen Abschluß des Verfahrens nach Absatz 1 Nr. 3, Abs. 2 Satz 1 Nr. 2 gleich.</w:t>
      </w:r>
    </w:p>
    <w:p>
      <w:r>
        <w:rPr>
          <w:color w:val="555555"/>
          <w:sz w:val="17"/>
        </w:rPr>
        <w:t xml:space="preserve">Zitiervorschlag: § 11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