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104 IRG — Gleichstellung von ausländischen mit inländischen Amtsträgern bei Amtshandlungen in der Bundesrepublik Deutschland</w:t>
      </w:r>
    </w:p>
    <w:p>
      <w:r>
        <w:rPr>
          <w:color w:val="555555"/>
          <w:sz w:val="18"/>
        </w:rPr>
        <w:t xml:space="preserve">Gesetz über die internationale Rechtshilfe in Strafsachen</w:t>
      </w:r>
    </w:p>
    <w:p>
      <w:r>
        <w:rPr>
          <w:color w:val="555555"/>
          <w:sz w:val="18"/>
        </w:rPr>
        <w:t xml:space="preserve">Stand: 10.12.2019 (konsolidierte Textfassung, kein amtliches Inkrafttretensdatum)</w:t>
      </w:r>
    </w:p>
    <w:p>
      <w:r>
        <w:t xml:space="preserve">Richter und sonstige Amtsträger eines anderen Mitgliedstaates der Europäischen Union, die bei Amtshandlungen nach Abschnitt 2 des Zehnten Teils in dem Hoheitsgebiet der Bundesrepublik Deutschland anwesend sind, stehen für die Dauer ihrer Anwesenheit in Bezug auf Straftaten, die sie selbst begehen oder die zu ihrem Nachteil oder ihnen gegenüber begangen werden, deutschen Richtern oder sonstigen deutschen Amtsträgern gleich.</w:t>
      </w:r>
    </w:p>
    <w:p>
      <w:r>
        <w:rPr>
          <w:color w:val="555555"/>
          <w:sz w:val="17"/>
        </w:rPr>
        <w:t xml:space="preserve">Zitiervorschlag: § 104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https://recht.nulegal.eu/gesetze/IRG/104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