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IRG — Übergangsvorschrift für Ersuchen, die auf einer Abwesenheitsentscheidung beruhen</w:t>
      </w:r>
    </w:p>
    <w:p>
      <w:r>
        <w:rPr>
          <w:color w:val="555555"/>
          <w:sz w:val="18"/>
        </w:rPr>
        <w:t xml:space="preserve">Gesetz über die internationale Rechtshilfe in Strafsachen</w:t>
      </w:r>
    </w:p>
    <w:p>
      <w:r>
        <w:rPr>
          <w:color w:val="555555"/>
          <w:sz w:val="18"/>
        </w:rPr>
        <w:t xml:space="preserve">Stand: 10.12.2019 (konsolidierte Textfassung, kein amtliches Inkrafttretensdatum)</w:t>
      </w:r>
    </w:p>
    <w:p>
      <w:r>
        <w:t xml:space="preserve">In Abweichung von § 83a Absatz 1, § 83f Absatz 1, § 87a Nummer 2, § 88b Absatz 1 und § 88c Nummer 1 ist die Vorlage des dort genannten Europäischen Haftbefehls oder der dort genannten Bescheinigungen ebenfalls in der Fassung vor dem 28. März 2011 zulässig, sofern der ersuchende Mitgliedstaat der Europäischen Union auf andere Art und Weise die zusätzlichen Angaben übermittelt, die gemäß den Artikeln 2 bis 4 des Rahmenbeschlusses 2009/299/JI des Rates vom 26. Februar 2009 zur Änderung der Rahmenbeschlüsse 2002/584/JI, 2005/214/JI, 2006/783/JI, 2008/909/JI und 2008/947/JI, zur Stärkung der Verfahrensrechte von Personen und zur Förderung der Anwendung des Grundsatzes der gegenseitigen Anerkennung auf Entscheidungen, die im Anschluss an eine Verhandlung ergangen sind, zu der die betroffene Person nicht erschienen ist (ABl. L 81 vom 27.3.2009, S. 24), erforderlich sind. Diese Regelung wird nicht mehr angewendet, sobald der letzte Mitgliedstaat der Europäischen Union den Rahmenbeschluss 2009/299/JI in sein nationales Recht umgesetzt hat. Das Bundesministerium der Justiz und für Verbraucherschutz gibt den Tag, ab dem Satz 1 gemäß Satz 2 nicht mehr angewendet wird, im Bundesanzeiger bekannt.</w:t>
      </w:r>
    </w:p>
    <w:p>
      <w:r>
        <w:rPr>
          <w:color w:val="555555"/>
          <w:sz w:val="17"/>
        </w:rPr>
        <w:t xml:space="preserve">Zitiervorschlag: § 101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