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INSTFMEDPHARPRUEFFR_G_2025 (Brandenburg)</w:t>
      </w:r>
    </w:p>
    <w:p>
      <w:r>
        <w:rPr>
          <w:color w:val="555555"/>
          <w:sz w:val="18"/>
        </w:rPr>
        <w:t xml:space="preserve">Gesetz zu dem Abkommen zur Änderung des Abkommens über die Errichtung und Finanzierung des Instituts für medizinische und pharmazeutische Prüfungsfragen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01.09.2026 (konsolidierte Textfassung, kein amtliches Inkrafttretensdatum)</w:t>
      </w:r>
    </w:p>
    <w:p>
      <w:r>
        <w:t xml:space="preserve">(1) Dieses Gesetz tritt am Tag nach der Verkündung in Kraft.</w:t>
      </w:r>
    </w:p>
    <w:p>
      <w:r>
        <w:t xml:space="preserve">(2) Der Tag, an dem das Abkommen nach seinem Artikel 2 in Kraft tritt, ist im Gesetz- und Verordnungsblatt für das Land Brandenburg Teil I bekannt zu geben.</w:t>
      </w:r>
    </w:p>
    <w:p>
      <w:r>
        <w:t xml:space="preserve">Potsdam, den 2. April 2025</w:t>
      </w:r>
    </w:p>
    <w:p>
      <w:r>
        <w:t xml:space="preserve">Die Präsidentin</w:t>
      </w:r>
    </w:p>
    <w:p>
      <w:r>
        <w:t xml:space="preserve">des Landtages Brandenburg</w:t>
      </w:r>
    </w:p>
    <w:p>
      <w:r>
        <w:t xml:space="preserve">Dr. Ulrike Liedtke</w:t>
      </w:r>
    </w:p>
    <w:p>
      <w:r>
        <w:rPr>
          <w:color w:val="555555"/>
          <w:sz w:val="17"/>
        </w:rPr>
        <w:t xml:space="preserve">Zitiervorschlag: § 3 INSTFMEDPHARPRUEFFR_G_2025 (Brandenburg)</w:t>
      </w:r>
    </w:p>
    <w:p>
      <w:r>
        <w:rPr>
          <w:color w:val="555555"/>
          <w:sz w:val="17"/>
        </w:rPr>
        <w:t xml:space="preserve">Quelle: bravors, abgerufen 01.09.2026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https://recht.nulegal.eu/gesetze/INSTFMEDPHARPRUEFFR_G_2025/3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