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IMSüßFPrV — Befreiung von einzelnen Prüfungsbestandteilen</w:t>
      </w:r>
    </w:p>
    <w:p>
      <w:r>
        <w:rPr>
          <w:color w:val="555555"/>
          <w:sz w:val="18"/>
        </w:rPr>
        <w:t xml:space="preserve">Industriemeister-Süßwaren-Fortbildungsprüfungsverordnung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Wird die zu prüfende Person nach § 56 Absatz 2 des Berufsbildungsgesetzes von der Ablegung einzelner Prüfungsbestandteile befreit, bleiben diese Prüfungsbestandteile für die Anwendung der §§ 14 und 15 außer Betracht. Für die übrigen Prüfungsbestandteile erhöhen sich die Anteile nach § 14 Absatz 3 oder Absatz 4 Satz 2 oder § 15 Absatz 4 Satz 1 entsprechend ihrem Verhältnis zueinander. Allein diese Prüfungsbestandteile sind den Entscheidungen des Prüfungsausschusses zugrunde zu legen.</w:t>
      </w:r>
    </w:p>
    <w:p>
      <w:r>
        <w:rPr>
          <w:color w:val="555555"/>
          <w:sz w:val="17"/>
        </w:rPr>
        <w:t xml:space="preserve">Zitiervorschlag: § 13 IMSüßFPrV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https://recht.nulegal.eu/gesetze/IMS%C3%BC%C3%9FFPrV/13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