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IMPMedFPrV — Prüfungsbereich „Rechtsbewusstes Handeln“</w:t>
      </w:r>
    </w:p>
    <w:p>
      <w:r>
        <w:rPr>
          <w:color w:val="555555"/>
          <w:sz w:val="18"/>
        </w:rPr>
        <w:t xml:space="preserve">Industriemeister-Printmedien-Fortbildungsprüfungsverordnung</w:t>
      </w:r>
    </w:p>
    <w:p>
      <w:r>
        <w:rPr>
          <w:color w:val="555555"/>
          <w:sz w:val="18"/>
        </w:rPr>
        <w:t xml:space="preserve">Historische Fassung: Stand 10.01.2020 bis 24.12.2020. Dies ist nicht die aktuelle Fassung.</w:t>
      </w:r>
    </w:p>
    <w:p>
      <w:r>
        <w:t xml:space="preserve">(1) Im Prüfungsbereich „Rechtsbewusstes Handeln“ soll die zu prüfende Person nachweisen, dass sie in der Lage ist, einschlägige Rechtsvorschriften zu berücksichtigen. Dazu gehört, die Arbeitsbedingungen der Mitarbeiter und Mitarbeiterinnen unter arbeitsrechtlichen Aspekten zu gestalten sowie die Arbeitssicherheit, den Gesundheitsschutz und den Umweltschutz nach rechtlichen Grundlagen zu gewährleisten und die Zusammenarbeit mit den entsprechenden Institutionen sicherzustellen.</w:t>
      </w:r>
    </w:p>
    <w:p>
      <w:r>
        <w:t xml:space="preserve">(2) In diesem Rahmen können folgende Qualifikationsinhalte geprüft werden:</w:t>
      </w:r>
    </w:p>
    <w:p>
      <w:pPr>
        <w:ind w:left="420"/>
      </w:pPr>
      <w:r>
        <w:t xml:space="preserve">1. Berücksichtigen arbeitsrechtlicher Vorschriften und Bestimmungen bei der Gestaltung individueller Arbeitsverhältnisse und bei Fehlverhalten von Mitarbeitern und Mitarbeiterinnen, insbesondere unter Berücksichtigung des Arbeitsvertragsrechts, des Tarifvertragsrechts und betrieblicher Vereinbarungen,</w:t>
      </w:r>
    </w:p>
    <w:p>
      <w:pPr>
        <w:ind w:left="420"/>
      </w:pPr>
      <w:r>
        <w:t xml:space="preserve">2. Berücksichtigen der Vorschriften des Betriebsverfassungsgesetzes, insbesondere der Beteiligungsrechte betriebsverfassungsrechtlicher Organe,</w:t>
      </w:r>
    </w:p>
    <w:p>
      <w:pPr>
        <w:ind w:left="420"/>
      </w:pPr>
      <w:r>
        <w:t xml:space="preserve">3. Berücksichtigen rechtlicher Bestimmungen hinsichtlich der Sozialversicherung, der Entgeltfindung sowie der Arbeitsförderung,</w:t>
      </w:r>
    </w:p>
    <w:p>
      <w:pPr>
        <w:ind w:left="420"/>
      </w:pPr>
      <w:r>
        <w:t xml:space="preserve">4. Berücksichtigen arbeitsschutz- und arbeitssicherheitsrechtlicher Vorschriften und Bestimmungen in Abstimmung mit betrieblichen und außerbetrieblichen Institutionen,</w:t>
      </w:r>
    </w:p>
    <w:p>
      <w:pPr>
        <w:ind w:left="420"/>
      </w:pPr>
      <w:r>
        <w:t xml:space="preserve">5. Berücksichtigen der Vorschriften des Umweltrechts, insbesondere hinsichtlich des Gewässer- und Bodenschutzes, der Kreislaufwirtschaft, der Luftreinhaltung, der Lärmvermeidung und des Lärmschutzes, des Strahlenschutzes und des Schutzes vor gefährlichen Stoffen und</w:t>
      </w:r>
    </w:p>
    <w:p>
      <w:pPr>
        <w:ind w:left="420"/>
      </w:pPr>
      <w:r>
        <w:t xml:space="preserve">6. Berücksichtigen einschlägiger wirtschaftsrechtlicher Vorschriften und Bestimmungen, insbesondere hinsichtlich der Produktverantwortung, der Produkthaftung sowie des Datenschutzes.</w:t>
      </w:r>
    </w:p>
    <w:p>
      <w:r>
        <w:rPr>
          <w:color w:val="555555"/>
          <w:sz w:val="17"/>
        </w:rPr>
        <w:t xml:space="preserve">Zitiervorschlag: § 9 IMPMedFPrV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https://recht.nulegal.eu/gesetze/IMPMedFPrV/9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