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IMPMedFPrV — Teile des Fortbildungsabschlusses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Für den anerkannten Fortbildungsabschluss „Geprüfter Industriemeister – Fachrichtung Printmedien“ oder „Geprüfte Industriemeisterin – Fachrichtung Printmedien“ ist Folgendes erforderlich:</w:t>
      </w:r>
    </w:p>
    <w:p>
      <w:pPr>
        <w:ind w:left="420"/>
      </w:pPr>
      <w:r>
        <w:t xml:space="preserve">1. das erfolgreiche Ablegen der im Rahmen dieser Verordnung geregelten Prüfung zum „Geprüften Industriemeister – Fachrichtung Printmedien“ oder zur „Geprüften Industriemeisterin – Fachrichtung Printmedien“ sowie</w:t>
      </w:r>
    </w:p>
    <w:p>
      <w:pPr>
        <w:ind w:left="420"/>
      </w:pPr>
      <w:r>
        <w:t xml:space="preserve">2. der Nachweis des Erwerbs der berufs- und arbeitspädagogischen Qualifikationen nach § 3.</w:t>
      </w:r>
    </w:p>
    <w:p>
      <w:r>
        <w:rPr>
          <w:color w:val="555555"/>
          <w:sz w:val="17"/>
        </w:rPr>
        <w:t xml:space="preserve">Zitiervorschlag: § 2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