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IMPMedBAProPrFPrV — Prüfungsbereiche</w:t>
      </w:r>
    </w:p>
    <w:p>
      <w:r>
        <w:rPr>
          <w:color w:val="555555"/>
          <w:sz w:val="18"/>
        </w:rPr>
        <w:t xml:space="preserve">Industriemeister Printmedien-Bachelor Professional Print-Fortbildungsprüfungsverordnung</w:t>
      </w:r>
    </w:p>
    <w:p>
      <w:r>
        <w:rPr>
          <w:color w:val="555555"/>
          <w:sz w:val="18"/>
        </w:rPr>
        <w:t xml:space="preserve">Stand: 24.12.2020 (konsolidierte Textfassung, kein amtliches Inkrafttretensdatum)</w:t>
      </w:r>
    </w:p>
    <w:p>
      <w:r>
        <w:t xml:space="preserve">Im Prüfungsteil „Grundlegende Qualifikationen“ werden folgende Prüfungsbereiche geprüft:</w:t>
      </w:r>
    </w:p>
    <w:p>
      <w:pPr>
        <w:ind w:left="420"/>
      </w:pPr>
      <w:r>
        <w:t xml:space="preserve">1. Rechtsbewusstes Handeln nach § 9,</w:t>
      </w:r>
    </w:p>
    <w:p>
      <w:pPr>
        <w:ind w:left="420"/>
      </w:pPr>
      <w:r>
        <w:t xml:space="preserve">2. Betriebswirtschaftliches Handeln nach § 10,</w:t>
      </w:r>
    </w:p>
    <w:p>
      <w:pPr>
        <w:ind w:left="420"/>
      </w:pPr>
      <w:r>
        <w:t xml:space="preserve">3. Anwenden von Methoden der Information, Kommunikation und Planung nach § 11 und</w:t>
      </w:r>
    </w:p>
    <w:p>
      <w:pPr>
        <w:ind w:left="420"/>
      </w:pPr>
      <w:r>
        <w:t xml:space="preserve">4. Zusammenarbeit im Betrieb nach § 12.</w:t>
      </w:r>
    </w:p>
    <w:p>
      <w:r>
        <w:rPr>
          <w:color w:val="555555"/>
          <w:sz w:val="17"/>
        </w:rPr>
        <w:t xml:space="preserve">Zitiervorschlag: § 6 IMPMedBAProPrFPrV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https://recht.nulegal.eu/gesetze/IMPMedBAProPrFPrV/6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