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IMPMedBAProPrFPrV — Situationsaufgabe aus dem Handlungsbereich „Medienproduktion“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In der Situationsaufgabe aus dem Handlungsbereich „Medienproduktion“ bildet der von der zu prüfenden Person nach § 13 Absatz 2 Satz 2 gewählte Wahlpflichtqualifikationsschwerpunkt „Druck und Druckveredelung“ oder „Druckweiterverarbeitung“ den Kern. Darüber hinaus ist der Qualifikationsschwerpunkt „Produkte und Prozesse der Print- und Digitalmedienproduktion“ in die Situationsaufgabe einzubeziehen. Die in der Situationsaufgabe zu prüfenden Qualifikationsinhalte bestimmen sich nach den §§ 18 bis 20.</w:t>
      </w:r>
    </w:p>
    <w:p>
      <w:r>
        <w:t xml:space="preserve">(2) Die Situationsaufgabe soll außerdem Qualifikationsinhalte aus den Qualifikationsschwerpunkten des Handlungsbereichs „Führung und Organisation“ einbeziehen. Die einbezogenen Qualifikationsinhalte sollen dann nicht Bestandteil der Situationsaufgabe aus dem Handlungsbereich „Führung und Organisation“ sein.</w:t>
      </w:r>
    </w:p>
    <w:p>
      <w:r>
        <w:rPr>
          <w:color w:val="555555"/>
          <w:sz w:val="17"/>
        </w:rPr>
        <w:t xml:space="preserve">Zitiervorschlag: § 17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