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IMPMedBAProPrFPrV — Gliederung des Prüfungsteils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Der Prüfungsteil besteht aus</w:t>
      </w:r>
    </w:p>
    <w:p>
      <w:pPr>
        <w:ind w:left="420"/>
      </w:pPr>
      <w:r>
        <w:t xml:space="preserve">1. einem schriftlichen Teil nach den §§ 15 bis 24 und</w:t>
      </w:r>
    </w:p>
    <w:p>
      <w:pPr>
        <w:ind w:left="420"/>
      </w:pPr>
      <w:r>
        <w:t xml:space="preserve">2. einer Projektarbeit nach § 25.</w:t>
      </w:r>
    </w:p>
    <w:p>
      <w:r>
        <w:rPr>
          <w:color w:val="555555"/>
          <w:sz w:val="17"/>
        </w:rPr>
        <w:t xml:space="preserve">Zitiervorschlag: § 14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