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IMLebensmFPrV — Teile des Fortbildungsabschlusses und Gliederung der Prüfung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Fortbildungsabschluss zum Geprüften Industriemeister – Fachrichtung Lebensmittel und zur Geprüften Industriemeisterin – Fachrichtung Lebensmittel ist Folgendes erforderlich:</w:t>
      </w:r>
    </w:p>
    <w:p>
      <w:pPr>
        <w:ind w:left="420"/>
      </w:pPr>
      <w:r>
        <w:t xml:space="preserve">1. das erfolgreiche Ablegen der im Rahmen dieser Verordnung geregelten Prüfung zum Geprüften Industriemeister – Fachrichtung Lebensmittel und zur Geprüften Industriemeisterin – Fachrichtung Lebensmittel,</w:t>
      </w:r>
    </w:p>
    <w:p>
      <w:pPr>
        <w:ind w:left="420"/>
      </w:pPr>
      <w:r>
        <w:t xml:space="preserve">2. der Nachweis des Erwerbs der berufs- und arbeitspädagogischen Qualifikationen nach § 3.</w:t>
      </w:r>
    </w:p>
    <w:p>
      <w:r>
        <w:t xml:space="preserve">(2) Die Prüfung nach Absatz 1 Nummer 1 gliedert sich in zwei aufeinander aufbauende Prüfungsteile:</w:t>
      </w:r>
    </w:p>
    <w:p>
      <w:pPr>
        <w:ind w:left="420"/>
      </w:pPr>
      <w:r>
        <w:t xml:space="preserve">1. Prüfungsteil „Fachrichtungsübergreifende Basisqualifikationen“ nach § 5 und</w:t>
      </w:r>
    </w:p>
    <w:p>
      <w:pPr>
        <w:ind w:left="420"/>
      </w:pPr>
      <w:r>
        <w:t xml:space="preserve">2. Prüfungsteil „Handlungsspezifische Qualifikationen“ nach § 7.</w:t>
      </w:r>
    </w:p>
    <w:p>
      <w:r>
        <w:rPr>
          <w:color w:val="555555"/>
          <w:sz w:val="17"/>
        </w:rPr>
        <w:t xml:space="preserve">Zitiervorschlag: § 2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