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IMLebensmFPrV — Befreiung von einzelnen Prüfungsbestandteilen</w:t>
      </w:r>
    </w:p>
    <w:p>
      <w:r>
        <w:rPr>
          <w:color w:val="555555"/>
          <w:sz w:val="18"/>
        </w:rPr>
        <w:t xml:space="preserve">Industriemeister-Lebensmittel-Fortbildungsprüfungsverordnung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14 und 15 außer Betracht. Für die übrigen Prüfungsbestandteile erhöhen sich die Anteile nach § 14 Absatz 2 Satz 2 oder § 15 Absatz 4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13 IMLebensmFPrV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https://recht.nulegal.eu/gesetze/IMLebensmFPrV/13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