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IMIV (Bayern) — Ausnahmen im Einzelfall</w:t>
      </w:r>
    </w:p>
    <w:p>
      <w:r>
        <w:rPr>
          <w:color w:val="555555"/>
          <w:sz w:val="18"/>
        </w:rPr>
        <w:t xml:space="preserve">IMI-Verordnung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Stellt eine zuständige Stelle ein Ersuchen auf Amtshilfe bei Ausnahmen im Einzelfall (Art. 35 in Verbindung mit Art. 18 der Richtlinie 2006/123/EG) und wird diesem Ersuchen im Niederlassungsmitgliedstaat nicht stattgegeben, sodass Maßnahmen nach Art. 18 Abs. 1 der Richtlinie 2006/123/EG ergriffen werden sollen, informiert die zuständige Stelle unmittelbar die Regierung der Oberpfalz und das fachlich zuständige Staatsministerium. Die zuständige Stelle versendet die Mitteilung nach Art. 35 Abs. 3 der Richtlinie 2006/123/EG möglichst im Binnenmarktinformationssystem IMI. Ist die zuständige Stelle nicht registriert (§ 1 Abs. 3), so gelten für die Versendung § 2 Abs. 1 Sätze 1 und 2 entsprechend.</w:t>
      </w:r>
    </w:p>
    <w:p>
      <w:r>
        <w:t xml:space="preserve">(2) Werden Maßnahmen nach Art. 35 Abs. 6 in Verbindung mit Art. 18 Abs. 1 der Richtlinie 2006/123/EG ergriffen, gilt Abs. 1 entsprechend.</w:t>
      </w:r>
    </w:p>
    <w:p>
      <w:r>
        <w:t xml:space="preserve">(3) Wird einem ausländischen Ersuchen nach Art. 35 Abs. 2 Unterabs. 1 der Richtlinie 2006/123/EG nicht oder nicht vollständig stattgegeben, informiert die zuständige Stelle unmittelbar die Regierung der Oberpfalz und das fachlich zuständige Staatsministerium. Die zuständige Stelle versendet die Mitteilung nach Art. 35 Abs. 2 Unterabs. 2 der Richtlinie 2006/123/EG möglichst im Binnenmarktinformationssystem IMI. Ist die zuständige Stelle nicht registriert (§ 1 Abs. 3), so gelten für die Versendung § 2 Abs. 1 Sätze 1 und 2 entsprechend.</w:t>
      </w:r>
    </w:p>
    <w:p>
      <w:r>
        <w:t xml:space="preserve">(4) Über eine ausländische Unterrichtung nach Art. 35 Abs. 3 der Richtlinie 2006/123/EG informiert die zuständige Stelle unmittelbar und unverzüglich die Regierung der Oberpfalz und das fachlich zuständige Staatsministerium.</w:t>
      </w:r>
    </w:p>
    <w:p>
      <w:r>
        <w:rPr>
          <w:color w:val="555555"/>
          <w:sz w:val="17"/>
        </w:rPr>
        <w:t xml:space="preserve">Zitiervorschlag: § 5 IMIV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