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IMIV (Bayern) — Vorwarnungen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der Oberpfalz übernimmt für Bayern die Aufgaben der zentralen Poststelle.</w:t>
      </w:r>
    </w:p>
    <w:p>
      <w:r>
        <w:t xml:space="preserve">(2) Hält eine zuständige Stelle eine Vorwarnung nach Art. 29 Abs. 3 oder Art. 32 der Richtlinie 2006/123/EG für erforderlich, leitet sie diese der Regierung der Oberpfalz im Binnenmarktinformationssystem IMI zu und informiert gleichzeitig und unmittelbar das fachlich zuständige Staatsministerium. Ist die zuständige Stelle nicht registriert (§ 1 Abs. 3), so gelten für die Zuleitung an die Regierung der Oberpfalz § 2 Abs. 1 Sätze 1 und 2 entsprechend.</w:t>
      </w:r>
    </w:p>
    <w:p>
      <w:r>
        <w:t xml:space="preserve">(3) Als registrierte Poststelle versendet die Regierung der Oberpfalz inländische Vorwarnungen im Sinn von Abs. 2 im Binnenmarktinformationssystem IMI. Sie übernimmt damit die Unterrichtung gemäß Art. 29 Abs. 3 oder Art. 32 Abs. 1 der Richtlinie 2006/123/EG.</w:t>
      </w:r>
    </w:p>
    <w:p>
      <w:r>
        <w:t xml:space="preserve">(4) Als registrierte Poststelle nimmt die Regierung der Oberpfalz ausländische Vorwarnungen im Binnenmarktinformationssystem IMI entgegen und leitet sie an die zuständigen Stellen weiter. Ist eine zuständige Stelle nicht registriert (§ 1 Abs. 3), so gelten für die Weiterleitung § 2 Abs. 2 Sätze 1 und 2 entsprechend.</w:t>
      </w:r>
    </w:p>
    <w:p>
      <w:r>
        <w:rPr>
          <w:color w:val="555555"/>
          <w:sz w:val="17"/>
        </w:rPr>
        <w:t xml:space="preserve">Zitiervorschlag: § 4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