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IMIV (Bayern) — Zentrale Verbindungsstelle; Koordinationsaufgaben</w:t>
      </w:r>
    </w:p>
    <w:p>
      <w:r>
        <w:rPr>
          <w:color w:val="555555"/>
          <w:sz w:val="18"/>
        </w:rPr>
        <w:t xml:space="preserve">IMI-Verordnung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Verbindungsstelle nach Art. 28 Abs. 2 der Richtlinie 2006/123/EG wird für Bayern beim Staatsministerium für Wirtschaft, Landesentwicklung und Energie eingerichtet.</w:t>
      </w:r>
    </w:p>
    <w:p>
      <w:r>
        <w:t xml:space="preserve">(2) Die Regierung der Oberpfalz übernimmt für Bayern die Aufgaben des Koordinators und der Betreuung für das elektronische Binnenmarktinformationssystem IMI.</w:t>
      </w:r>
    </w:p>
    <w:p>
      <w:r>
        <w:rPr>
          <w:color w:val="555555"/>
          <w:sz w:val="17"/>
        </w:rPr>
        <w:t xml:space="preserve">Zitiervorschlag: § 3 IMIV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