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IMIV (Bayern) — Informationsaustausch im Zuständigkeitsbereich nicht registrierter Stellen</w:t>
      </w:r>
    </w:p>
    <w:p>
      <w:r>
        <w:rPr>
          <w:color w:val="555555"/>
          <w:sz w:val="18"/>
        </w:rPr>
        <w:t xml:space="preserve">IMI-Verordnung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Anfragen von nicht nach § 1 Abs. 3 registrierten Stellen, die im Rahmen der europäischen Verwaltungszusammenarbeit an Mitgliedstaaten der Europäischen Union oder an Vertragsstaaten des Abkommens über den Europäischen Wirtschaftsraum gestellt werden sollen, sind dem örtlich zuständigen IMI-Adressaten nach § 1 Abs. 2 Nr. 1 zu übermitteln und von diesem in das Binnenmarktinformationssystem IMI einzustellen. Ist der örtliche Zuständigkeitsbereich der nicht registrierten Stelle größer als der des IMI-Adressaten nach § 1 Abs. 2 Nr. 1, gilt Satz 1 mit der Maßgabe, dass der IMI-Adressat nach § 1 Abs. 2 Nr. 6, in dessen Gebiet die nicht registrierte Stelle ihren Sitz hat, zuständig ist. Der nach Satz 1 oder Satz 2 zuständige IMI-Adressat nimmt die Antwort der ausländischen Stelle entgegen und leitet sie an die zuständige nicht registrierte Stelle weiter.</w:t>
      </w:r>
    </w:p>
    <w:p>
      <w:r>
        <w:t xml:space="preserve">(2) Anfragen, die aus den anderen Mitgliedstaaten der Europäischen Union oder den Vertragsstaaten des Abkommens über den Europäischen Wirtschaftsraum eingehen und die in den Zuständigkeitsbereich von nicht in § 1 Abs. 2 genannten Stellen fallen, sind von dem örtlich zuständigen IMI-Adressaten nach § 1 Abs. 2 Nr. 1 anzunehmen und an die fachlich zuständigen Stellen weiterzuleiten. Abs. 1 Satz 2 gilt entsprechend. Der nach Satz 1 oder Satz 2 zuständige IMI-Adressat nimmt die Antwort der zuständigen nicht registrierten Stelle entgegen und stellt sie in das Binnenmarktinformationssystem IMI ein.</w:t>
      </w:r>
    </w:p>
    <w:p>
      <w:r>
        <w:t xml:space="preserve">(3) Kann eine eingehende Anfrage keiner zuständigen Stelle zugeordnet werden, übernimmt die Regierung der Oberpfalz die Aufgabe des IMI-Adressaten.</w:t>
      </w:r>
    </w:p>
    <w:p>
      <w:r>
        <w:rPr>
          <w:color w:val="555555"/>
          <w:sz w:val="17"/>
        </w:rPr>
        <w:t xml:space="preserve">Zitiervorschlag: § 2 IMIV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