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IMIV (Bayern) — Aufgaben und Zuständigkeiten</w:t>
      </w:r>
    </w:p>
    <w:p>
      <w:r>
        <w:rPr>
          <w:color w:val="555555"/>
          <w:sz w:val="18"/>
        </w:rPr>
        <w:t xml:space="preserve">IMI-Verordnung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Rahmen der europäischen Verwaltungszusammenarbeit sollen grenzüberschreitende Anfragen und Antworten gemäß Art. 28 Abs. 1 und Art. 29 Abs. 1 der Richtlinie 2006/123/EG des Europäischen Parlaments und des Rates vom 12. Dezember 2006 über Dienstleistungen im Binnenmarkt (ABl L 376 S. 36) über das von der Europäischen Kommission zur Verfügung gestellte elektronische Binnenmarktinformationssystem IMI (Internal Market Information System) abgewickelt werden.</w:t>
      </w:r>
    </w:p>
    <w:p>
      <w:r>
        <w:t xml:space="preserve">(2) Folgende Stellen nehmen im Rahmen ihrer sachlichen und örtlichen Zuständigkeit Informationsanfragen an und stellen Anfragen sowie Antworten auf Anfragen im Binnenmarktinformationssystem IMI ein:</w:t>
      </w:r>
    </w:p>
    <w:p>
      <w:r>
        <w:t xml:space="preserve">1. die Kreisverwaltungsbehörden,</w:t>
      </w:r>
    </w:p>
    <w:p>
      <w:r>
        <w:t xml:space="preserve">2. die Industrie- und Handelskammern, die Handwerkskammern, die Rechtsanwaltskammern und die Steuerberaterkammern in Bayern,</w:t>
      </w:r>
    </w:p>
    <w:p>
      <w:r>
        <w:t xml:space="preserve">3. die Bayerische Architektenkammer,</w:t>
      </w:r>
    </w:p>
    <w:p>
      <w:r>
        <w:t xml:space="preserve">4. die Bayerische Ingenieurekammer-Bau,</w:t>
      </w:r>
    </w:p>
    <w:p>
      <w:r>
        <w:t xml:space="preserve">5. die Bayerische Landestierärztekammer,</w:t>
      </w:r>
    </w:p>
    <w:p>
      <w:r>
        <w:t xml:space="preserve">6. die Regierungen und</w:t>
      </w:r>
    </w:p>
    <w:p>
      <w:r>
        <w:t xml:space="preserve">7. das Landesamt für Umwelt.</w:t>
      </w:r>
    </w:p>
    <w:p>
      <w:r>
        <w:t xml:space="preserve">(3) Die in Abs. 2 aufgeführten Stellen und die zentrale Verbindungsstelle (§ 3 Abs. 1) werden zur Nutzung des Binnenmarktinformationssystems IMI registriert (IMI-Adressaten).</w:t>
      </w:r>
    </w:p>
    <w:p>
      <w:r>
        <w:rPr>
          <w:color w:val="555555"/>
          <w:sz w:val="17"/>
        </w:rPr>
        <w:t xml:space="preserve">Zitiervorschlag: § 1 IMIV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