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IMIS-ZustV — Aufgaben des Max Rubner-Instituts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Max Rubner-Institut, Bundesforschungsinstitut für Ernährung und Lebensmittel, ist als Leitstelle zur Überwachung der Umweltradioaktivität für die Aufgaben nach § 161 Absatz 1 Nummer 2 und 3 des Strahlenschutzgesetzes für die Bereiche Lebensmittel, Futtermittel, Pflanzen als Indikatoren und Boden zuständig.</w:t>
      </w:r>
    </w:p>
    <w:p>
      <w:r>
        <w:t xml:space="preserve">(2) Die Zuständigkeit des Max Rubner-Instituts, Bundesforschungsinstitut für Ernährung und Lebensmittel, für den Bereich Lebensmittel umfasst nicht Fische, Fischprodukte, Krusten- und Schalentiere sowie Wasserpflanzen.</w:t>
      </w:r>
    </w:p>
    <w:p>
      <w:r>
        <w:rPr>
          <w:color w:val="555555"/>
          <w:sz w:val="17"/>
        </w:rPr>
        <w:t xml:space="preserve">Zitiervorschlag: § 7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