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IMIS-ZustV — Aufgaben der Bundesanstalt für Gewässerkunde</w:t>
      </w:r>
    </w:p>
    <w:p>
      <w:r>
        <w:rPr>
          <w:color w:val="555555"/>
          <w:sz w:val="18"/>
        </w:rPr>
        <w:t xml:space="preserve">IMIS-Zuständigkeitsverordnung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für Gewässerkunde ist für die Aufgaben nach § 161 Absatz 1 Nummer 1 Buchstabe c des Strahlenschutzgesetzes im Bereich Bundeswasserstraßen außer Küstengewässern für die Ermittlung der Radioaktivität in Wasser, Schwebstoffen und Sediment zuständig.</w:t>
      </w:r>
    </w:p>
    <w:p>
      <w:r>
        <w:t xml:space="preserve">(2) Die Bundesanstalt für Gewässerkunde ist als Leitstelle zur Überwachung der Umweltradioaktivität im Rahmen der Aufgaben nach § 161 Absatz 1 Nummer 2 und 3 des Strahlenschutzgesetzes für den Bereich oberirdische Binnengewässer zuständig.</w:t>
      </w:r>
    </w:p>
    <w:p>
      <w:r>
        <w:rPr>
          <w:color w:val="555555"/>
          <w:sz w:val="17"/>
        </w:rPr>
        <w:t xml:space="preserve">Zitiervorschlag: § 5 IMIS-ZustV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https://recht.nulegal.eu/gesetze/IMIS-ZustV/5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