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IMFAbkG</w:t>
      </w:r>
    </w:p>
    <w:p>
      <w:r>
        <w:rPr>
          <w:color w:val="555555"/>
          <w:sz w:val="18"/>
        </w:rPr>
        <w:t xml:space="preserve">IWF-Gesetz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der Artikel 2 bis 9 am Tage nach seiner Verkündung in Kraft.</w:t>
      </w:r>
    </w:p>
    <w:p>
      <w:r>
        <w:t xml:space="preserve">(2) Artikel 2 bis 9 dieses Gesetzes treten an dem Tag in Kraft, an dem das Übereinkommen (Neufassung) für die Bundesrepublik Deutschland in Kraft tritt.</w:t>
      </w:r>
    </w:p>
    <w:p>
      <w:r>
        <w:t xml:space="preserve">(3) Der Tag, an dem das Übereinkommen (Neufassung) nach Artikel XVII der bisherigen Fassung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11 IMFAbkG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https://recht.nulegal.eu/gesetze/IMFAbkG/11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