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IKKV (Brandenburg)</w:t>
      </w:r>
    </w:p>
    <w:p>
      <w:r>
        <w:rPr>
          <w:color w:val="555555"/>
          <w:sz w:val="18"/>
        </w:rPr>
        <w:t xml:space="preserve">Innungskrankenkassenverordnung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Vereinigte Innungskrankenkasse Brandenburg und die</w:t>
      </w:r>
    </w:p>
    <w:p>
      <w:r>
        <w:t xml:space="preserve">Innungskrankenkasse Brandenburg-Belzig-Rathenow werden vereinigt. Name und Sitz</w:t>
      </w:r>
    </w:p>
    <w:p>
      <w:r>
        <w:t xml:space="preserve">werden durch die Satzung festgelegt.</w:t>
      </w:r>
    </w:p>
    <w:p>
      <w:r>
        <w:rPr>
          <w:color w:val="555555"/>
          <w:sz w:val="17"/>
        </w:rPr>
        <w:t xml:space="preserve">Zitiervorschlag: § 1 IKKV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https://recht.nulegal.eu/gesetze/IKKV/1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