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IICVorRV</w:t>
      </w:r>
    </w:p>
    <w:p>
      <w:r>
        <w:rPr>
          <w:color w:val="555555"/>
          <w:sz w:val="18"/>
        </w:rPr>
        <w:t xml:space="preserve">Verordnung über die Gewährung von Vorrechten und Befreiungen an das Internationale Baumwoll-Institut (International Institute for Cotton)</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über den Beitritt der Bundesrepublik Deutschland zum Abkommen über die Vorrechte und Befreiungen der Sonderorganisationen der Vereinten Nationen vom 21. November 1947 und über die Gewährung von Vorrechten und Befreiungen an andere zwischenstaatliche Organisationen vom 22. Juni 1954, zuletzt geändert durch das Gesetz vom 28. Februar 1964, auch im Land Berlin.</w:t>
      </w:r>
    </w:p>
    <w:p>
      <w:r>
        <w:rPr>
          <w:color w:val="555555"/>
          <w:sz w:val="17"/>
        </w:rPr>
        <w:t xml:space="preserve">Zitiervorschlag: § 3 IICVorRV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https://recht.nulegal.eu/gesetze/IICVorRV/3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