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IHSchImpfAnsprV — Inkrafttreten, Außerkrafttreten</w:t>
      </w:r>
    </w:p>
    <w:p>
      <w:r>
        <w:rPr>
          <w:color w:val="555555"/>
          <w:sz w:val="18"/>
        </w:rPr>
        <w:t xml:space="preserve">Verordnung zum Anspruch auf Schutzimpfung in Bezug auf einen Influenza-Hochdosis-Impfstoff</w:t>
      </w:r>
    </w:p>
    <w:p>
      <w:r>
        <w:rPr>
          <w:color w:val="555555"/>
          <w:sz w:val="18"/>
        </w:rPr>
        <w:t xml:space="preserve">Historische Fassung: Stand 11.11.2020 bis 01.04.2021. Dies ist nicht die aktuelle Fassung.</w:t>
      </w:r>
    </w:p>
    <w:p>
      <w:r>
        <w:t xml:space="preserve">Diese Verordnung tritt am 10. November 2020 in Kraft und am 31. März 2021 außer Kraft.</w:t>
      </w:r>
    </w:p>
    <w:p>
      <w:r>
        <w:rPr>
          <w:color w:val="555555"/>
          <w:sz w:val="17"/>
        </w:rPr>
        <w:t xml:space="preserve">Zitiervorschlag: § 2 IHSchImpfAnsprV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https://recht.nulegal.eu/gesetze/IHSchImpfAnsprV/2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