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IHRAVorRV</w:t>
      </w:r>
    </w:p>
    <w:p>
      <w:r>
        <w:rPr>
          <w:color w:val="555555"/>
          <w:sz w:val="18"/>
        </w:rPr>
        <w:t xml:space="preserve">Verordnung über die Gewährung von Vorrechten und Befreiungen an die Internationale Allianz zum Holocaust-Gedenken</w:t>
      </w:r>
    </w:p>
    <w:p>
      <w:r>
        <w:rPr>
          <w:color w:val="555555"/>
          <w:sz w:val="18"/>
        </w:rPr>
        <w:t xml:space="preserve">Stand: 16.04.2021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IHRAVorRV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https://recht.nulegal.eu/gesetze/IHRAVorRV/schlussformel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IHRAVorRV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