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(1) Die IHRA genießt die in den §§ 6 bis 9 und 15 des Gaststaatgesetzes vorgesehenen Vorrechte, Immunitäten, Befreiungen und Erleichterungen, sofern die in diesen Vorschriften genannten Voraussetzungen erfüllt sind.</w:t>
      </w:r>
    </w:p>
    <w:p>
      <w:r>
        <w:t xml:space="preserve">(2) Die IHRA genießt die in § 11 des Gaststaatgesetzes vorgesehenen steuerlichen Vergünstigungen, sofern die in dieser Vorschrift genannten Voraussetzungen erfüllt sind und solange sich die IHRA überwiegend aus Haushaltsbeiträgen der Mitgliedstaaten finanziert.</w:t>
      </w:r>
    </w:p>
    <w:p>
      <w:r>
        <w:rPr>
          <w:color w:val="555555"/>
          <w:sz w:val="17"/>
        </w:rPr>
        <w:t xml:space="preserve">Zitiervorschlag: § 3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