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IHRAVorRV</w:t>
      </w:r>
    </w:p>
    <w:p>
      <w:r>
        <w:rPr>
          <w:color w:val="555555"/>
          <w:sz w:val="18"/>
        </w:rPr>
        <w:t xml:space="preserve">Verordnung über die Gewährung von Vorrechten und Befreiungen an die Internationale Allianz zum Holocaust-Gedenken</w:t>
      </w:r>
    </w:p>
    <w:p>
      <w:r>
        <w:rPr>
          <w:color w:val="555555"/>
          <w:sz w:val="18"/>
        </w:rPr>
        <w:t xml:space="preserve">Stand: 16.04.2021 (konsolidierte Textfassung, kein amtliches Inkrafttretensdatum)</w:t>
      </w:r>
    </w:p>
    <w:p>
      <w:r>
        <w:t xml:space="preserve">(1) Die IHRA besitzt in Deutschland Rechtspersönlichkeit und kann</w:t>
      </w:r>
    </w:p>
    <w:p>
      <w:pPr>
        <w:ind w:left="420"/>
      </w:pPr>
      <w:r>
        <w:t xml:space="preserve">1. Verträge schließen,</w:t>
      </w:r>
    </w:p>
    <w:p>
      <w:pPr>
        <w:ind w:left="420"/>
      </w:pPr>
      <w:r>
        <w:t xml:space="preserve">2. über bewegliches und unbewegliches Vermögen verfügen und</w:t>
      </w:r>
    </w:p>
    <w:p>
      <w:pPr>
        <w:ind w:left="420"/>
      </w:pPr>
      <w:r>
        <w:t xml:space="preserve">3. vor Gericht klagen und vorbehaltlich der Bestimmung des § 5 verklagt werden.</w:t>
      </w:r>
    </w:p>
    <w:p>
      <w:r>
        <w:t xml:space="preserve">(2) Die rechtswirksame Vertretung der IHRA richtet sich nach ihrer Geschäftsordnung.</w:t>
      </w:r>
    </w:p>
    <w:p>
      <w:r>
        <w:rPr>
          <w:color w:val="555555"/>
          <w:sz w:val="17"/>
        </w:rPr>
        <w:t xml:space="preserve">Zitiervorschlag: § 2 IHRAVorRV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https://recht.nulegal.eu/gesetze/IHRAVorRV/2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