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IHRAVorRV</w:t>
      </w:r>
    </w:p>
    <w:p>
      <w:r>
        <w:rPr>
          <w:color w:val="555555"/>
          <w:sz w:val="18"/>
        </w:rPr>
        <w:t xml:space="preserve">Verordnung über die Gewährung von Vorrechten und Befreiungen an die Internationale Allianz zum Holocaust-Gedenken</w:t>
      </w:r>
    </w:p>
    <w:p>
      <w:r>
        <w:rPr>
          <w:color w:val="555555"/>
          <w:sz w:val="18"/>
        </w:rPr>
        <w:t xml:space="preserve">Stand: 16.04.2021 (konsolidierte Textfassung, kein amtliches Inkrafttretensdatum)</w:t>
      </w:r>
    </w:p>
    <w:p>
      <w:r>
        <w:t xml:space="preserve">Der Ansiedlung der Internationalen Allianz zum Holocaust-Gedenken (International Holocaust Remembrance Alliance – IHRA) in der Bundesrepublik Deutschland in der Rechtsform einer internationalen Institution gemäß Teil 3 Kapitel 1 des Gaststaatgesetzes wird gemäß § 27 Absatz 2 Satz 1 des Gaststaatgesetzes zugestimmt.</w:t>
      </w:r>
    </w:p>
    <w:p>
      <w:r>
        <w:rPr>
          <w:color w:val="555555"/>
          <w:sz w:val="17"/>
        </w:rPr>
        <w:t xml:space="preserve">Zitiervorschlag: § 1 IHRAVorRV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https://recht.nulegal.eu/gesetze/IHRAVorRV/1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