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IHKG</w:t>
      </w:r>
    </w:p>
    <w:p>
      <w:r>
        <w:rPr>
          <w:color w:val="555555"/>
          <w:sz w:val="18"/>
        </w:rPr>
        <w:t xml:space="preserve">Gesetz zur vorläufigen Regelung des Rechts der Industrie- und Handelskammern</w:t>
      </w:r>
    </w:p>
    <w:p>
      <w:r>
        <w:rPr>
          <w:color w:val="555555"/>
          <w:sz w:val="18"/>
        </w:rPr>
        <w:t xml:space="preserve">Stand: 02.12.2019 (konsolidierte Textfassung, kein amtliches Inkrafttretensdatum)</w:t>
      </w:r>
    </w:p>
    <w:p>
      <w:r>
        <w:t xml:space="preserve">(1) Die Industrie- und Handelskammern erheben die Daten nach § 14 Absatz 8 Satz 1 Nummer 1 in Verbindung mit Satz 2 der Gewerbeordnung sowie der Rechtsverordnung nach § 14 Absatz 14 der Gewerbeordnung bei den Kammerzugehörigen oder öffentlichen Stellen, soweit diese Daten ihnen nicht von der zuständigen Behörde übermittelt worden sind. Bei nichtöffentlichen Stellen und aus allgemein zugänglichen Quellen dürfen Industrie- und Handelskammern die Daten nach § 14 Absatz 8 Satz 1 Nummer 1 in Verbindung mit Satz 2 der Gewerbeordnung sowie der Rechtsverordnung nach § 14 Absatz 14 der Gewerbeordnung erheben, wenn</w:t>
      </w:r>
    </w:p>
    <w:p>
      <w:pPr>
        <w:ind w:left="420"/>
      </w:pPr>
      <w:r>
        <w:t xml:space="preserve">1. die zu erfüllende Verwaltungsaufgabe ihrer Art nach oder im Einzelfall eine solche Erhebung erforderlich macht,</w:t>
      </w:r>
    </w:p>
    <w:p>
      <w:pPr>
        <w:ind w:left="420"/>
      </w:pPr>
      <w:r>
        <w:t xml:space="preserve">2. die Erhebung bei der betroffenen Person einen unverhältnismäßigen Aufwand erfordern würde oder keinen Erfolg verspricht oder</w:t>
      </w:r>
    </w:p>
    <w:p>
      <w:pPr>
        <w:ind w:left="420"/>
      </w:pPr>
      <w:r>
        <w:t xml:space="preserve">3. es sich um Daten aus allgemein zugänglichen Quellen handelt.</w:t>
      </w:r>
    </w:p>
    <w:p>
      <w:r>
        <w:t xml:space="preserve">Die Sätze 1 und 2 gelten für Daten über angebotene Waren und Dienstleistungen sowie über die Betriebsgrößen entsprechend. Werden die Daten bei den Kammerzugehörigen erhoben, sind auskunftspflichtig die Inhaber oder diejenigen, die allein oder zusammen mit anderen zur gesetzlichen Vertretung einer kammerzugehörigen juristischen Person, Handelsgesellschaft oder Personenmehrheit befugt sind. Auskunftspflichtig sind auch besonders bestellte Bevollmächtigte und in das Handelsregister eingetragene Prokuristen von Kammerzugehörigen.</w:t>
      </w:r>
    </w:p>
    <w:p>
      <w:r>
        <w:t xml:space="preserve">(2) Die Industrie- und Handelskammern und ihre Gemeinschaftseinrichtungen, die öffentliche Stellen im Sinne des § 2 Absatz 2 des Bundesdatenschutzgesetzes sind, erheben zur Feststellung der Kammerzugehörigkeit und zur Festsetzung der Beiträge der Kammerzugehörigen Angaben zur Gewerbesteuerveranlagung, wie sie auch zur Feststellung der Kammerzugehörigkeit im Sinne des § 2 Absatz 1 erforderlich sind, sowie die nach § 3 Absatz 3 erforderlichen Bemessungsgrundlagen bei den Finanzbehörden.</w:t>
      </w:r>
    </w:p>
    <w:p>
      <w:r>
        <w:t xml:space="preserve">(3) Die Industrie- und Handelskammern und ihre Gemeinschaftseinrichtungen, die öffentliche Stellen im Sinne des § 2 Absatz 2 des Bundesdatenschutzgesetzes sind, verarbeiten die in den Absätzen 1 und 2 genannten Daten, soweit dies zur Erfüllung der ihnen nach diesem Gesetz übertragenen Aufgaben erforderlich ist. Andere als die in Satz 1 genannten Daten verarbeiten sie nur, soweit eine andere Rechtsvorschrift dies erlaubt oder anordnet.</w:t>
      </w:r>
    </w:p>
    <w:p>
      <w:r>
        <w:t xml:space="preserve">(4) Die Industrie- und Handelskammern übermitteln die in Absatz 1 genannten Daten an andere Industrie- und Handelskammern auf Ersuchen oder durch automatisiertes Abrufverfahren, soweit dies für die Erfüllung der ihnen nach diesem Gesetz übertragenen Aufgaben erforderlich ist. Die beteiligten Industrie- und Handelskammern haben zu gewährleisten, dass die Zulässigkeit des Abrufverfahrens kontrolliert werden kann. Hierzu haben sie schriftlich festzulegen:</w:t>
      </w:r>
    </w:p>
    <w:p>
      <w:pPr>
        <w:ind w:left="420"/>
      </w:pPr>
      <w:r>
        <w:t xml:space="preserve">1. den Anlass und Zweck des Abrufverfahrens,</w:t>
      </w:r>
    </w:p>
    <w:p>
      <w:pPr>
        <w:ind w:left="420"/>
      </w:pPr>
      <w:r>
        <w:t xml:space="preserve">2. die Stelle, an die übermittelt wird,</w:t>
      </w:r>
    </w:p>
    <w:p>
      <w:pPr>
        <w:ind w:left="420"/>
      </w:pPr>
      <w:r>
        <w:t xml:space="preserve">3. die Art der zu übermittelnden Daten,</w:t>
      </w:r>
    </w:p>
    <w:p>
      <w:pPr>
        <w:ind w:left="420"/>
      </w:pPr>
      <w:r>
        <w:t xml:space="preserve">4. die erforderlichen technischen und organisatorischen Maßnahmen nach Maßgabe der datenschutzrechtlichen Vorschriften.</w:t>
      </w:r>
    </w:p>
    <w:p>
      <w:r>
        <w:t xml:space="preserve">Die Verantwortung für die Zulässigkeit des einzelnen Abrufs trägt die Stelle, an die übermittelt wird. Die speichernde Stelle prüft die Zulässigkeit der Abrufe nur, wenn dazu Anlass besteht. Sie hat zu gewährleisten, dass die Übermittlung personenbezogener und sonstiger Daten zumindest durch geeignete Stichprobenverfahren festgestellt und überprüft werden kann. Wird ein Gesamtbestand dieser Daten abgerufen oder übermittelt (Stapelverarbeitung), so bezieht sich die Gewährleistung der Feststellung und Überprüfung nur auf die Zulässigkeit des Abrufes oder der Übermittlung des Gesamtbestandes.</w:t>
      </w:r>
    </w:p>
    <w:p>
      <w:r>
        <w:t xml:space="preserve">(5) Die Industrie- und Handelskammern dürfen zur Förderung von Geschäftsabschlüssen und zu anderen dem Wirtschaftsverkehr dienenden Zwecken die in Absatz 1 genannten Daten an nicht-öffentliche Stellen übermitteln, sofern der betroffene Kammerzugehörige der Übermittlung nicht widersprochen hat und der Empfänger der Daten sich gegenüber der übermittelnden öffentlichen Stelle verpflichtet hat, die Daten nur für den Zweck zu verarbeiten, zu dessen Erfüllung sie ihm übermittelt werden. Auf die Möglichkeit, der Übermittlung der Daten an nicht-öffentliche Stellen zu widersprechen, sind die Kammerzugehörigen unbeschadet der weiteren Vorgaben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vor der ersten Übermittlung schriftlich oder elektronisch hinzuweisen. Daten über Zugehörige anderer Kammern hat die Industrie- und Handelskammer nach Übermittlung an die nicht-öffentliche Stelle unverzüglich zu löschen, soweit sie nicht zur Erfüllung der ihr nach diesem Gesetz übertragenen Aufgaben erforderlich sind.</w:t>
      </w:r>
    </w:p>
    <w:p>
      <w:r>
        <w:t xml:space="preserve">(6) An Bewerber und Kandidaten für die Wahl zur Vollversammlung nach § 5 dürfen zum Zweck der Wahlbewerbung durch die Bewerber und der Wahlwerbung durch die Kandidaten Name, Firma, Anschrift, E-Mail-Adresse und Wirtschaftszweig über Wahlberechtigte aus ihrer jeweiligen Wahlgruppe übermittelt werden, sofern der Empfänger der Daten sich gegenüber der übermittelnden öffentlichen Stelle verpflichtet hat, die Daten nur für den Zweck zu verarbeiten, zu dessen Erfüllung sie ihm übermittelt werden. Bewerber und Kandidaten haben die übermittelten Daten nach der Durchführung der Wahl unverzüglich zu löschen.</w:t>
      </w:r>
    </w:p>
    <w:p>
      <w:r>
        <w:t xml:space="preserve">(7) Für das Verändern, Einschränken der Verarbeitung oder Löschen der nach den Absätzen 1 und 2 erhobenen Daten sowie die Übermittlung der Daten nach Absatz 1 an öffentliche Stellen gelten unbeschadet der Verordnung (EU) 2016/679 die Datenschutzgesetze der Länder.</w:t>
      </w:r>
    </w:p>
    <w:p>
      <w:r>
        <w:rPr>
          <w:color w:val="555555"/>
          <w:sz w:val="17"/>
        </w:rPr>
        <w:t xml:space="preserve">Zitiervorschlag: § 9 IHKG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https://recht.nulegal.eu/gesetze/IHKG/9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