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IHKG</w:t>
      </w:r>
    </w:p>
    <w:p>
      <w:r>
        <w:rPr>
          <w:color w:val="555555"/>
          <w:sz w:val="18"/>
        </w:rPr>
        <w:t xml:space="preserve">Gesetz zur vorläufigen Regelung des Rechts der Industrie- und Handelskammern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Vollversammlung bestellt den Hauptgeschäftsführer.</w:t>
      </w:r>
    </w:p>
    <w:p>
      <w:r>
        <w:t xml:space="preserve">(2) Präsident (Präses) und Hauptgeschäftsführer vertreten nach näherer Bestimmung der Satzung die Industrie- und Handelskammer rechtsgeschäftlich und gerichtlich.</w:t>
      </w:r>
    </w:p>
    <w:p>
      <w:r>
        <w:rPr>
          <w:color w:val="555555"/>
          <w:sz w:val="17"/>
        </w:rPr>
        <w:t xml:space="preserve">Zitiervorschlag: § 7 IHKG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https://recht.nulegal.eu/gesetze/IHKG/7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