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IHKG</w:t>
      </w:r>
    </w:p>
    <w:p>
      <w:r>
        <w:rPr>
          <w:color w:val="555555"/>
          <w:sz w:val="18"/>
        </w:rPr>
        <w:t xml:space="preserve">Gesetz zur vorläufigen Regelung des Rechts der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Vollversammlung wählt aus ihrer Mitte den Präsidenten (Präses) und die von der Satzung zu bestimmende Zahl von weiteren Mitgliedern des Präsidiums.</w:t>
      </w:r>
    </w:p>
    <w:p>
      <w:r>
        <w:t xml:space="preserve">(2) Der Präsident (Präses) ist der Vorsitzende des Präsidiums. Er beruft die Vollversammlung ein und führt in ihr den Vorsitz.</w:t>
      </w:r>
    </w:p>
    <w:p>
      <w:r>
        <w:rPr>
          <w:color w:val="555555"/>
          <w:sz w:val="17"/>
        </w:rPr>
        <w:t xml:space="preserve">Zitiervorschlag: § 6 IHKG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