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IHKG</w:t>
      </w:r>
    </w:p>
    <w:p>
      <w:r>
        <w:rPr>
          <w:color w:val="555555"/>
          <w:sz w:val="18"/>
        </w:rPr>
        <w:t xml:space="preserve">Gesetz zur vorläufigen Regelung des Rechts der Industrie- und Handelskammern</w:t>
      </w:r>
    </w:p>
    <w:p>
      <w:r>
        <w:rPr>
          <w:color w:val="555555"/>
          <w:sz w:val="18"/>
        </w:rPr>
        <w:t xml:space="preserve">Stand: 02.12.2019 (konsolidierte Textfassung, kein amtliches Inkrafttretensdatum)</w:t>
      </w:r>
    </w:p>
    <w:p>
      <w:r>
        <w:t xml:space="preserve">(1) Die Mitglieder der Vollversammlung werden von den Kammerzugehörigen gewählt.</w:t>
      </w:r>
    </w:p>
    <w:p>
      <w:r>
        <w:t xml:space="preserve">(2) Wählbar sind natürliche Personen, die das Kammerwahlrecht auszuüben berechtigt sind, am Wahltag volljährig sind und entweder selbst Kammerzugehörige sind oder allein oder zusammen mit anderen zur gesetzlichen Vertretung einer kammerzugehörigen juristischen Person, Handelsgesellschaft oder Personenmehrheit befugt sind. Wählbar sind auch besonders bestellte Bevollmächtigte und in das Handelsregister eingetragene Prokuristen von Kammerzugehörigen.</w:t>
      </w:r>
    </w:p>
    <w:p>
      <w:r>
        <w:t xml:space="preserve">(3) Soweit personenbezogene Daten in den Wählerlisten für die Wahl zur Vollversammlung verarbeitet werden, bestehen das Recht auf Auskunft der betroffenen Person nach Artikel 15 Absatz 1 Buchstabe c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und die Mitteilungspflicht der verantwortlichen Stelle nach Artikel 19 Satz 2 der Verordnung (EU) 2016/679 in der jeweils geltenden Fassung nicht. Das Recht auf Erhalt einer Kopie nach Artikel 15 Absatz 3 der Verordnung (EU) 2016/679 in der jeweils geltenden Fassung wird dadurch erfüllt, dass die betroffene Person Einsicht in die Wählerlisten nehmen kann.</w:t>
      </w:r>
    </w:p>
    <w:p>
      <w:r>
        <w:t xml:space="preserve">(4) Das Nähere über die Ausübung des aktiven und passiven Wahlrechts, über die Durchführung der Wahl sowie über Dauer und vorzeitige Beendigung der Mitgliedschaft zur Vollversammlung regelt die Wahlordnung. Sie muß Bestimmungen über die Aufteilung der Kammerzugehörigen in besondere Wahlgruppen sowie die Zahl der diesen zugeordneten Sitze in der Vollversammlung enthalten und dabei die wirtschaftlichen Besonderheiten des Kammerbezirks sowie die gesamtwirtschaftliche Bedeutung der Gewerbegruppen berücksichtigen.</w:t>
      </w:r>
    </w:p>
    <w:p>
      <w:r>
        <w:rPr>
          <w:color w:val="555555"/>
          <w:sz w:val="17"/>
        </w:rPr>
        <w:t xml:space="preserve">Zitiervorschlag: § 5 IHKG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https://recht.nulegal.eu/gesetze/IHKG/5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