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IHKG</w:t>
      </w:r>
    </w:p>
    <w:p>
      <w:r>
        <w:rPr>
          <w:color w:val="555555"/>
          <w:sz w:val="18"/>
        </w:rPr>
        <w:t xml:space="preserve">Gesetz zur vorläufigen Regelung des Rechts der Industrie- und Handelskammern</w:t>
      </w:r>
    </w:p>
    <w:p>
      <w:r>
        <w:rPr>
          <w:color w:val="555555"/>
          <w:sz w:val="18"/>
        </w:rPr>
        <w:t xml:space="preserve">Stand: 12.08.2021 (konsolidierte Textfassung, kein amtliches Inkrafttretensdatum)</w:t>
      </w:r>
    </w:p>
    <w:p>
      <w:r>
        <w:t xml:space="preserve">(1) Die Organe der Industrie- und Handelskammer sind</w:t>
      </w:r>
    </w:p>
    <w:p>
      <w:pPr>
        <w:ind w:left="420"/>
      </w:pPr>
      <w:r>
        <w:t xml:space="preserve">1. die Vollversammlung,</w:t>
      </w:r>
    </w:p>
    <w:p>
      <w:pPr>
        <w:ind w:left="420"/>
      </w:pPr>
      <w:r>
        <w:t xml:space="preserve">2. das Präsidium,</w:t>
      </w:r>
    </w:p>
    <w:p>
      <w:pPr>
        <w:ind w:left="420"/>
      </w:pPr>
      <w:r>
        <w:t xml:space="preserve">3. der Präsident,</w:t>
      </w:r>
    </w:p>
    <w:p>
      <w:pPr>
        <w:ind w:left="420"/>
      </w:pPr>
      <w:r>
        <w:t xml:space="preserve">4. der Hauptgeschäftsführer und</w:t>
      </w:r>
    </w:p>
    <w:p>
      <w:pPr>
        <w:ind w:left="420"/>
      </w:pPr>
      <w:r>
        <w:t xml:space="preserve">5. der Berufsbildungsausschuss im Rahmen der in § 79 Berufsbildungsgesetz genannten Aufgaben.</w:t>
      </w:r>
    </w:p>
    <w:p>
      <w:r>
        <w:t xml:space="preserve">(2) Über die Angelegenheiten der Industrie- und Handelskammer beschließt, soweit nicht die Satzung etwas anderes bestimmt, die Vollversammlung. Der ausschließlichen Beschlußfassung durch die Vollversammlung unterliegen</w:t>
      </w:r>
    </w:p>
    <w:p>
      <w:pPr>
        <w:ind w:left="420"/>
      </w:pPr>
      <w:r>
        <w:t xml:space="preserve">1. die Satzung,</w:t>
      </w:r>
    </w:p>
    <w:p>
      <w:pPr>
        <w:ind w:left="420"/>
      </w:pPr>
      <w:r>
        <w:t xml:space="preserve">2. die Wahl-, Beitrags-, Sonderbeitrags- und Gebührenordnung,</w:t>
      </w:r>
    </w:p>
    <w:p>
      <w:pPr>
        <w:ind w:left="420"/>
      </w:pPr>
      <w:r>
        <w:t xml:space="preserve">3. die Feststellung des Wirtschaftsplans,</w:t>
      </w:r>
    </w:p>
    <w:p>
      <w:pPr>
        <w:ind w:left="420"/>
      </w:pPr>
      <w:r>
        <w:t xml:space="preserve">4. die Festsetzung des Maßstabes für die Beiträge und Sonderbeiträge,</w:t>
      </w:r>
    </w:p>
    <w:p>
      <w:pPr>
        <w:ind w:left="420"/>
      </w:pPr>
      <w:r>
        <w:t xml:space="preserve">5. die Erteilung der Entlastung,</w:t>
      </w:r>
    </w:p>
    <w:p>
      <w:pPr>
        <w:ind w:left="420"/>
      </w:pPr>
      <w:r>
        <w:t xml:space="preserve">6. die Übertragung von Aufgaben auf andere Industrie- und Handelskammern, die Übernahme dieser Aufgaben, die Bildung von öffentlich-rechtlichen Zusammenschlüssen und die Beteiligung hieran (§ 10) sowie die Beteiligung an Einrichtungen nach § 1 Abs. 3b,</w:t>
      </w:r>
    </w:p>
    <w:p>
      <w:pPr>
        <w:ind w:left="420"/>
      </w:pPr>
      <w:r>
        <w:t xml:space="preserve">7. die Art und Weise der öffentlichen Bekanntmachung,</w:t>
      </w:r>
    </w:p>
    <w:p>
      <w:pPr>
        <w:ind w:left="420"/>
      </w:pPr>
      <w:r>
        <w:t xml:space="preserve">8. die Satzung gemäß § 3 Abs. 7a (Finanzstatut) und</w:t>
      </w:r>
    </w:p>
    <w:p>
      <w:pPr>
        <w:ind w:left="420"/>
      </w:pPr>
      <w:r>
        <w:t xml:space="preserve">9. Fragen, die für die gewerbliche Wirtschaft ihres Bezirks oder die Arbeit der Industrie- und Handelskammer von grundsätzlicher Bedeutung sind.</w:t>
      </w:r>
    </w:p>
    <w:p>
      <w:r>
        <w:t xml:space="preserve">Soweit nach Satz 2 Nr. 7 die elektronische Verkündung von Satzungsrecht vorgesehen ist, hat diese im Bundesanzeiger zu erfolgen.</w:t>
      </w:r>
    </w:p>
    <w:p>
      <w:r>
        <w:rPr>
          <w:color w:val="555555"/>
          <w:sz w:val="17"/>
        </w:rPr>
        <w:t xml:space="preserve">Zitiervorschlag: § 4 IHKG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https://recht.nulegal.eu/gesetze/IHKG/4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