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IHKG</w:t>
      </w:r>
    </w:p>
    <w:p>
      <w:r>
        <w:rPr>
          <w:color w:val="555555"/>
          <w:sz w:val="18"/>
        </w:rPr>
        <w:t xml:space="preserve">Gesetz zur vorläufigen Regelung des Rechts der Industrie- und Handelskammern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Bis zum 31. Dezember 1997 können die Beiträge der Kammerzugehörigen von den Industrie- und Handelskammern in dem in Artikel 3 des Einigungsvertrages genannten Gebiet im Anschluß an die in Anlage I Kapitel V Sachgebiet B Abschnitt III Nr. 4 des Einigungsvertrages vom 31. August 1990 in Verbindung mit Artikel 1 des Gesetzes vom 23. September 1990 (BGBl. 1990 II S. 885, 1000) angegebene Frist abweichend von § 3 Abs. 3 und 4 festgesetzt werden. Die Beitragsordnung und der Beitragsmaßstab bedürfen der Genehmigung der Aufsichtsbehörde.</w:t>
      </w:r>
    </w:p>
    <w:p>
      <w:r>
        <w:rPr>
          <w:color w:val="555555"/>
          <w:sz w:val="17"/>
        </w:rPr>
        <w:t xml:space="preserve">Zitiervorschlag: § 14 IHKG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https://recht.nulegal.eu/gesetze/IHKG/14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