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IHKG</w:t>
      </w:r>
    </w:p>
    <w:p>
      <w:r>
        <w:rPr>
          <w:color w:val="555555"/>
          <w:sz w:val="18"/>
        </w:rPr>
        <w:t xml:space="preserve">Gesetz zur vorläufigen Regelung des Rechts der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Handelskammern Bremen und Hamburg sind berechtigt, ihre bisherige Bezeichnung weiterzuführen.</w:t>
      </w:r>
    </w:p>
    <w:p>
      <w:r>
        <w:rPr>
          <w:color w:val="555555"/>
          <w:sz w:val="17"/>
        </w:rPr>
        <w:t xml:space="preserve">Zitiervorschlag: § 13 IHKG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https://recht.nulegal.eu/gesetze/IHKG/13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