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IHKG</w:t>
      </w:r>
    </w:p>
    <w:p>
      <w:r>
        <w:rPr>
          <w:color w:val="555555"/>
          <w:sz w:val="18"/>
        </w:rPr>
        <w:t xml:space="preserve">Gesetz zur vorläufigen Regelung des Rechts der Industrie- und Handelskammern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Durch Landesrecht können ergänzende Vorschriften erlassen werden über</w:t>
      </w:r>
    </w:p>
    <w:p>
      <w:pPr>
        <w:ind w:left="420"/>
      </w:pPr>
      <w:r>
        <w:t xml:space="preserve">1. die Errichtung und Auflösung von Industrie- und Handelskammern sowie von öffentlich-rechtlichen Zusammenschlüssen,</w:t>
      </w:r>
    </w:p>
    <w:p>
      <w:pPr>
        <w:ind w:left="420"/>
      </w:pPr>
      <w:r>
        <w:t xml:space="preserve">2. die Änderung der Bezirke bestehender Industrie- und Handelskammern,</w:t>
      </w:r>
    </w:p>
    <w:p>
      <w:pPr>
        <w:ind w:left="420"/>
      </w:pPr>
      <w:r>
        <w:t xml:space="preserve">3. die für die Ausübung der Befugnisse des § 11 Abs. 1 und 2 zuständigen Behörden,</w:t>
      </w:r>
    </w:p>
    <w:p>
      <w:pPr>
        <w:ind w:left="420"/>
      </w:pPr>
      <w:r>
        <w:t xml:space="preserve">4. die Aufsichtsmittel, welche erforderlich sind, um die Ausübung der Befugnisse gemäß § 11 Abs. 1 und 2 zu ermöglichen,</w:t>
      </w:r>
    </w:p>
    <w:p>
      <w:pPr>
        <w:ind w:left="420"/>
      </w:pPr>
      <w:r>
        <w:t xml:space="preserve">5. die Verpflichtung der Steuerveranlagungsbehörden zur Mitteilung der für die Festsetzung der Beiträge erforderlichen Unterlagen an die Industrie- und Handelskammern,</w:t>
      </w:r>
    </w:p>
    <w:p>
      <w:pPr>
        <w:ind w:left="420"/>
      </w:pPr>
      <w:r>
        <w:t xml:space="preserve">6. die Verpflichtung der Behörden zur Amtshilfe bei Einziehung und Beitreibung von Abgaben (§ 3 Abs. 8),</w:t>
      </w:r>
    </w:p>
    <w:p>
      <w:pPr>
        <w:ind w:left="420"/>
      </w:pPr>
      <w:r>
        <w:t xml:space="preserve">7. die Prüfung des Jahresabschlusses der Industrie- und Handelskammern,</w:t>
      </w:r>
    </w:p>
    <w:p>
      <w:pPr>
        <w:ind w:left="420"/>
      </w:pPr>
      <w:r>
        <w:t xml:space="preserve">8. die Befugnis der Industrie- und Handelskammern zur Führung eines Dienstsiegels.</w:t>
      </w:r>
    </w:p>
    <w:p>
      <w:r>
        <w:t xml:space="preserve">(2) Vor der Entscheidung über Maßnahmen nach Absatz 1 Nr. 1 und 2 sind die Kammerzugehörigen gemäß § 2 Abs. 1 zu hören.</w:t>
      </w:r>
    </w:p>
    <w:p>
      <w:r>
        <w:rPr>
          <w:color w:val="555555"/>
          <w:sz w:val="17"/>
        </w:rPr>
        <w:t xml:space="preserve">Zitiervorschlag: § 12 IHKG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https://recht.nulegal.eu/gesetze/IHKG/12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