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11a IHKG</w:t>
      </w:r>
    </w:p>
    <w:p>
      <w:r>
        <w:rPr>
          <w:color w:val="555555"/>
          <w:sz w:val="18"/>
        </w:rPr>
        <w:t xml:space="preserve">Gesetz zur vorläufigen Regelung des Rechts der Industrie- und Handelskammern</w:t>
      </w:r>
    </w:p>
    <w:p>
      <w:r>
        <w:rPr>
          <w:color w:val="555555"/>
          <w:sz w:val="18"/>
        </w:rPr>
        <w:t xml:space="preserve">Stand: 12.08.2021 (konsolidierte Textfassung, kein amtliches Inkrafttretensdatum)</w:t>
      </w:r>
    </w:p>
    <w:p>
      <w:r>
        <w:t xml:space="preserve">(1) Die Deutsche Industrie- und Handelskammer unterliegt in entsprechender Anwendung des § 11 Absatz 1 Satz 1 der Aufsicht des Bundesministeriums für Wirtschaft und Energie. Abweichende Regelungen durch oder auf Grund anderer Gesetze bleiben hiervon unberührt. Der Genehmigung durch die Aufsichtsbehörde bedürfen die Beschlüsse über</w:t>
      </w:r>
    </w:p>
    <w:p>
      <w:pPr>
        <w:ind w:left="420"/>
      </w:pPr>
      <w:r>
        <w:t xml:space="preserve">1. eine Satzung nach § 10a Absatz 4 Nummer 2 und 3,</w:t>
      </w:r>
    </w:p>
    <w:p>
      <w:pPr>
        <w:ind w:left="420"/>
      </w:pPr>
      <w:r>
        <w:t xml:space="preserve">2. die Übernahme von Aufgaben nach § 10a Absatz 8,</w:t>
      </w:r>
    </w:p>
    <w:p>
      <w:pPr>
        <w:ind w:left="420"/>
      </w:pPr>
      <w:r>
        <w:t xml:space="preserve">3. die Beitragsordnung und die Gebührenordnung nach § 10b Absatz 3,</w:t>
      </w:r>
    </w:p>
    <w:p>
      <w:pPr>
        <w:ind w:left="420"/>
      </w:pPr>
      <w:r>
        <w:t xml:space="preserve">4. die Satzung nach § 10b Absatz 5 Satz 2,</w:t>
      </w:r>
    </w:p>
    <w:p>
      <w:pPr>
        <w:ind w:left="420"/>
      </w:pPr>
      <w:r>
        <w:t xml:space="preserve">5. die Satzung nach § 10c Absatz 3 Satz 2 Nummer 1 und</w:t>
      </w:r>
    </w:p>
    <w:p>
      <w:pPr>
        <w:ind w:left="420"/>
      </w:pPr>
      <w:r>
        <w:t xml:space="preserve">6. die Satzung nach Absatz 3 Satz 3.</w:t>
      </w:r>
    </w:p>
    <w:p>
      <w:r>
        <w:t xml:space="preserve">(2) Bekanntmachungen der Deutschen Industrie- und Handelskammer sind im Bundesanzeiger zu veröffentlichen.</w:t>
      </w:r>
    </w:p>
    <w:p>
      <w:r>
        <w:t xml:space="preserve">(3) Die Industrie- und Handelskammern sowie ihre Kammerzugehörigen haben gegenüber der Deutschen Industrie- und Handelskammer einen Anspruch auf Unterlassung, soweit die Deutsche Industrie- und Handelskammer die gesetzlichen Kompetenzen nach § 10a überschreitet oder eines ihrer Organe gegen einen Beschluss der Vollversammlung verstößt. Über die Klage entscheidet im ersten Rechtszug das für den Sitz der Deutschen Industrie- und Handelskammer örtlich zuständige Verwaltungsgericht. Durch Satzung der Deutschen Industrie- und Handelskammer ist ein Beschwerdeverfahren mit einem Beschwerdeausschuss einzurichten.</w:t>
      </w:r>
    </w:p>
    <w:p>
      <w:r>
        <w:rPr>
          <w:color w:val="555555"/>
          <w:sz w:val="17"/>
        </w:rPr>
        <w:t xml:space="preserve">Zitiervorschlag: § 11a IHKG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https://recht.nulegal.eu/gesetze/IHKG/11a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