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 IGV-DG — Informationspflichten von Beförderern, Flughafenunternehmern und Betreibern von Häfen und Personenbahnhöfen (zu Artikel 24 IGV)</w:t>
      </w:r>
    </w:p>
    <w:p>
      <w:r>
        <w:rPr>
          <w:color w:val="555555"/>
          <w:sz w:val="18"/>
        </w:rPr>
        <w:t xml:space="preserve">IGV-Durchführungsgesetz</w:t>
      </w:r>
    </w:p>
    <w:p>
      <w:r>
        <w:rPr>
          <w:color w:val="555555"/>
          <w:sz w:val="18"/>
        </w:rPr>
        <w:t xml:space="preserve">Stand: 10.06.2019 (konsolidierte Textfassung, kein amtliches Inkrafttretensdatum)</w:t>
      </w:r>
    </w:p>
    <w:p>
      <w:r>
        <w:t xml:space="preserve">(1) Wenn Reisende von einer schwerwiegenden Gefahr für die öffentliche Gesundheit bedroht oder betroffen sein können, kann das Bundesministerium für Gesundheit im Einvernehmen mit dem Bundesministerium für Verkehr und digitale Infrastruktur allgemein anordnen, dass die Beförderer Reisenden bei der Ankunft oder Abreise bestimmte Verhaltenshinweise zur Krankheitsvorbeugung oder für den Fall, dass Krankheitssymptome auftreten, zu geben haben. Ebenso können Flughafenunternehmer, die Betreiber von Häfen, Personenbahnhöfen und Omnibusbahnhöfen sowie Reiseveranstalter verpflichtet werden, den Reisenden bestimmte Verhaltenshinweise zur Krankheitsvorbeugung oder für den Fall, dass Krankheitssymptome auftreten, zu geben. Widerspruch und Anfechtungsklage gegen Anordnungen nach den Sätzen 1 und 2 haben keine aufschiebende Wirkung.</w:t>
      </w:r>
    </w:p>
    <w:p>
      <w:r>
        <w:t xml:space="preserve">(2) Das Bundesministerium für Gesundheit bestimmt Inhalt und Form der Informationen im Benehmen mit den Ländern und im Einvernehmen mit der nach § 4 Absatz 1 jeweils entscheidungsbefugten Behörde, die ihrerseits die empfohlenen Gesundheitsmaßnahmen der Weltgesundheitsorganisation berücksichtigt.</w:t>
      </w:r>
    </w:p>
    <w:p>
      <w:r>
        <w:rPr>
          <w:color w:val="555555"/>
          <w:sz w:val="17"/>
        </w:rPr>
        <w:t xml:space="preserve">Zitiervorschlag: § 5 IGV-DG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https://recht.nulegal.eu/gesetze/IGV-DG/5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