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IGV-DG — Mitteilungen über die nationale IGV-Anlaufstelle (zu den Artikeln 6 bis 12 IGV)</w:t>
      </w:r>
    </w:p>
    <w:p>
      <w:r>
        <w:rPr>
          <w:color w:val="555555"/>
          <w:sz w:val="18"/>
        </w:rPr>
        <w:t xml:space="preserve">IGV-Durchführungsgesetz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Die Entscheidung, welche Mitteilungen die nationale IGV-Anlaufstelle insbesondere nach den Artikeln 6 bis 12 IGV an die Weltgesundheitsorganisation sendet, und die Entscheidung, an welche Behörden Informationen weitergeleitet werden, die von der Weltgesundheitsorganisation über die nationale IGV-Anlaufstelle eingehen, trifft</w:t>
      </w:r>
    </w:p>
    <w:p>
      <w:pPr>
        <w:ind w:left="420"/>
      </w:pPr>
      <w:r>
        <w:t xml:space="preserve">1. für den Bereich der übertragbaren Krankheiten das Robert Koch-Institut,</w:t>
      </w:r>
    </w:p>
    <w:p>
      <w:pPr>
        <w:ind w:left="420"/>
      </w:pPr>
      <w:r>
        <w:t xml:space="preserve">2. für den Bereich chemischer Gefahren das Bundesamt für Bevölkerungsschutz und Katastrophenhilfe und</w:t>
      </w:r>
    </w:p>
    <w:p>
      <w:pPr>
        <w:ind w:left="420"/>
      </w:pPr>
      <w:r>
        <w:t xml:space="preserve">3. für den Bereich radionuklearer Gefahren das Bundesministerium für Umwelt, Naturschutz und nukleare Sicherheit.</w:t>
      </w:r>
    </w:p>
    <w:p>
      <w:r>
        <w:t xml:space="preserve">(2) Die zuständigen Landesbehörden, die zuständigen Stellen der Bundeswehr, das Auswärtige Amt sowie Bundesoberbehörden, die Gesundheitsgefahren überwachen, informieren die nach Absatz 1 jeweils entscheidungsbefugte Behörde unverzüglich,</w:t>
      </w:r>
    </w:p>
    <w:p>
      <w:pPr>
        <w:ind w:left="420"/>
      </w:pPr>
      <w:r>
        <w:t xml:space="preserve">1. wenn sie Kenntnis von einem Ereignis erlangt haben, das eine gesundheitliche Notlage von internationaler Tragweite darstellen könnte,</w:t>
      </w:r>
    </w:p>
    <w:p>
      <w:pPr>
        <w:ind w:left="420"/>
      </w:pPr>
      <w:r>
        <w:t xml:space="preserve">2. wenn sie Kenntnis von eingeschleppten Krankheitsfällen, Vektoren oder verseuchten Gütern erlangt haben, die ausgehend vom Herkunftsort eine grenzüberschreitende Ausbreitung einer bedrohlichen Krankheit befürchten lassen, oder</w:t>
      </w:r>
    </w:p>
    <w:p>
      <w:pPr>
        <w:ind w:left="420"/>
      </w:pPr>
      <w:r>
        <w:t xml:space="preserve">3. wenn in ihrem jeweiligen Geschäftsbereich zusätzliche Gesundheitsmaßnahmen nach Artikel 23 Absatz 2, Artikel 27 Absatz 1, Artikel 28 Absatz 2, Artikel 31 Absatz 2 Buchstabe c oder nach Artikel 43 Absatz 1 IGV getroffen wurden oder beabsichtigt sind, die über Empfehlungen der Weltgesundheitsorganisation hinausgehen und den Verkehr mehr als nur unerheblich beeinträchtigen.</w:t>
      </w:r>
    </w:p>
    <w:p>
      <w:r>
        <w:t xml:space="preserve">Die Behörden nach Satz 1 stellen der nach Absatz 1 jeweils entscheidungsbefugten Behörde auf deren Anforderung unverzüglich alle ihnen vorliegenden Informationen zur Verfügung, die für Mitteilungen an die Weltgesundheitsorganisation im Sinne der Artikel 6 bis 12 und 19 Buchstabe c IGV erforderlich sind.</w:t>
      </w:r>
    </w:p>
    <w:p>
      <w:r>
        <w:t xml:space="preserve">(3) § 12 Absatz 1 des Infektionsschutzgesetzes bleibt unberührt.</w:t>
      </w:r>
    </w:p>
    <w:p>
      <w:r>
        <w:rPr>
          <w:color w:val="555555"/>
          <w:sz w:val="17"/>
        </w:rPr>
        <w:t xml:space="preserve">Zitiervorschlag: § 4 IGV-DG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https://recht.nulegal.eu/gesetze/IGV-DG/4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