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IGV-DG — Rechtsverordnungsermächtigung</w:t>
      </w:r>
    </w:p>
    <w:p>
      <w:r>
        <w:rPr>
          <w:color w:val="555555"/>
          <w:sz w:val="18"/>
        </w:rPr>
        <w:t xml:space="preserve">IGV-Durchführungsgesetz</w:t>
      </w:r>
    </w:p>
    <w:p>
      <w:r>
        <w:rPr>
          <w:color w:val="555555"/>
          <w:sz w:val="18"/>
        </w:rPr>
        <w:t xml:space="preserve">Stand: 01.07.2020 (konsolidierte Textfassung, kein amtliches Inkrafttretensdatum)</w:t>
      </w:r>
    </w:p>
    <w:p>
      <w:r>
        <w:t xml:space="preserve">(1) Das Bundesministerium für Gesundheit wird ermächtigt, im Einvernehmen mit dem Bundesministerium für Verkehr und digitale Infrastruktur, dem Bundesministerium für Wirtschaft und Energie sowie dem Bundesministerium des Innern, für Bau und Heimat mit Zustimmung des Bundesrates durch Rechtsverordnung nähere Bestimmungen zur Durchführung der IGV zu erlassen, soweit sich diese Bestimmungen im Rahmen der Ziele der IGV bewegen. Dabei kann insbesondere Folgendes geregelt werden:</w:t>
      </w:r>
    </w:p>
    <w:p>
      <w:pPr>
        <w:ind w:left="420"/>
      </w:pPr>
      <w:r>
        <w:t xml:space="preserve">1. das Verfahren zur Auswahl und Benennung von Flughäfen und Häfen nach Artikel 20 Absatz 1 IGV, die die in Anlage 1 Teil B IGV vorgesehenen Kapazitäten zu schaffen und aufrechtzuerhalten haben,</w:t>
      </w:r>
    </w:p>
    <w:p>
      <w:pPr>
        <w:ind w:left="420"/>
      </w:pPr>
      <w:r>
        <w:t xml:space="preserve">2. die Verpflichtung von Schiffen oder Luftfahrzeugen mit einer betroffenen oder verdächtigen Person an Bord, nach Artikel 28 Absatz 1 IGV einen Hafen oder Flughafen, der über Kapazitäten nach Anlage 1 Teil B IGV verfügt, anzulaufen oder auf ihm zu landen,</w:t>
      </w:r>
    </w:p>
    <w:p>
      <w:pPr>
        <w:ind w:left="420"/>
      </w:pPr>
      <w:r>
        <w:t xml:space="preserve">3. das Verfahren zur Überprüfung der Schiffshygiene einschließlich der Gebührenerhebung, zur Erstellung von Schiffshygienebescheinigungen und zur Benennung von zur Erteilung von Schiffshygienebescheinigungen befugten Häfen nach Artikel 20 Absatz 2 und 3 IGV,</w:t>
      </w:r>
    </w:p>
    <w:p>
      <w:pPr>
        <w:ind w:left="420"/>
      </w:pPr>
      <w:r>
        <w:t xml:space="preserve">4. die Verpflichtung von</w:t>
      </w:r>
    </w:p>
    <w:p>
      <w:pPr>
        <w:ind w:left="780"/>
      </w:pPr>
      <w:r>
        <w:t xml:space="preserve">a) Reisenden, nach Artikel 23 Absatz 1 Buchstabe a IGV bei Ankunft oder Abreise Informationen über Zielort und Reiseroute zu geben,</w:t>
      </w:r>
    </w:p>
    <w:p>
      <w:pPr>
        <w:ind w:left="780"/>
      </w:pPr>
      <w:r>
        <w:t xml:space="preserve">b) Beförderern, entsprechende Daten zu erheben, zu speichern und der zuständigen Behörde zu übermitteln,</w:t>
      </w:r>
    </w:p>
    <w:p>
      <w:pPr>
        <w:ind w:left="420"/>
      </w:pPr>
      <w:r>
        <w:t xml:space="preserve">damit zum Zweck des Gesundheitsschutzes mit Reisenden Kontakt aufgenommen werden kann,</w:t>
      </w:r>
    </w:p>
    <w:p>
      <w:pPr>
        <w:ind w:left="420"/>
      </w:pPr>
      <w:r>
        <w:t xml:space="preserve">5. die Festlegung des Inhalts von Aussteigekarten, die zur Ermittlung von Kontaktpersonen einzusetzen sind,</w:t>
      </w:r>
    </w:p>
    <w:p>
      <w:pPr>
        <w:ind w:left="420"/>
      </w:pPr>
      <w:r>
        <w:t xml:space="preserve">6. die Verpflichtung von Reisenden, nach den Artikeln 35 und 36 IGV Gesundheitsdokumente vorzulegen,</w:t>
      </w:r>
    </w:p>
    <w:p>
      <w:pPr>
        <w:ind w:left="420"/>
      </w:pPr>
      <w:r>
        <w:t xml:space="preserve">7. die Fälle, in denen von Reisenden nach Artikel 23 Absatz 1 Buchstabe a Ziffer iii und Absatz 2 IGV bei Ankunft und Abreise eine ärztliche Untersuchung verlangt wird,</w:t>
      </w:r>
    </w:p>
    <w:p>
      <w:pPr>
        <w:ind w:left="420"/>
      </w:pPr>
      <w:r>
        <w:t xml:space="preserve">8. die Verpflichtung von Beförderern nach Artikel 24 sowie nach den Anlagen 4 und 5 IGV,</w:t>
      </w:r>
    </w:p>
    <w:p>
      <w:pPr>
        <w:ind w:left="780"/>
      </w:pPr>
      <w:r>
        <w:t xml:space="preserve">a) Empfehlungen der Weltgesundheitsorganisation oder nationale Empfehlungen umzusetzen,</w:t>
      </w:r>
    </w:p>
    <w:p>
      <w:pPr>
        <w:ind w:left="780"/>
      </w:pPr>
      <w:r>
        <w:t xml:space="preserve">b) Reisende über die zur Anwendung an Bord empfohlenen Gesundheitsmaßnahmen zu informieren oder</w:t>
      </w:r>
    </w:p>
    <w:p>
      <w:pPr>
        <w:ind w:left="780"/>
      </w:pPr>
      <w:r>
        <w:t xml:space="preserve">c) Beförderungsmittel frei von Infektions- und Verseuchungsquellen zu halten,</w:t>
      </w:r>
    </w:p>
    <w:p>
      <w:pPr>
        <w:ind w:left="420"/>
      </w:pPr>
      <w:r>
        <w:t xml:space="preserve">9. die Verpflichtung von Container-Verladern, nach Artikel 34 IGV Container und Container-Verladeplätze für den internationalen Verkehr frei von Infektions- und Verseuchungsquellen zu halten und Möglichkeiten zur Überprüfung und Absonderung von Containern zu schaffen,</w:t>
      </w:r>
    </w:p>
    <w:p>
      <w:pPr>
        <w:ind w:left="420"/>
      </w:pPr>
      <w:r>
        <w:t xml:space="preserve">10. das Verfahren bei der Anzeige von Erkrankungsfällen durch Schiffsführerinnen und Schiffsführer und verantwortliche Luftfahrzeugführerinnen und Luftfahrzeugführer nach Artikel 28 Absatz 4 IGV, das Verfahren bei der Abgabe der Seegesundheitserklärung nach Artikel 37 IGV und das Verfahren bei der Abgabe der Allgemeinen Erklärung für Luftfahrzeuge, Abschnitt über Gesundheit, nach Artikel 38 IGV,</w:t>
      </w:r>
    </w:p>
    <w:p>
      <w:pPr>
        <w:ind w:left="420"/>
      </w:pPr>
      <w:r>
        <w:t xml:space="preserve">11. das Verfahren zur Auswahl und Benennung von speziellen Gelbfieber-Impfstellen nach Anlage 7 Absatz 2 Buchstabe f IGV,</w:t>
      </w:r>
    </w:p>
    <w:p>
      <w:pPr>
        <w:ind w:left="420"/>
      </w:pPr>
      <w:r>
        <w:t xml:space="preserve">12. die Umsetzung von vorübergehenden und ständigen Empfehlungen der Weltgesundheitsorganisation nach den Artikeln 15 und 16 IGV,</w:t>
      </w:r>
    </w:p>
    <w:p>
      <w:pPr>
        <w:ind w:left="420"/>
      </w:pPr>
      <w:r>
        <w:t xml:space="preserve">13. eine von den Vorschriften dieses Gesetzes abweichende Zuständigkeit von Behörden des Bundes für die Durchführung der IGV in Bezug auf</w:t>
      </w:r>
    </w:p>
    <w:p>
      <w:pPr>
        <w:ind w:left="780"/>
      </w:pPr>
      <w:r>
        <w:t xml:space="preserve">a) Luftfahrzeuge und Schiffe der Bundeswehr, der Bundespolizei und des Fischereischutzes und andere Luftfahrzeuge und Schiffe des Bundes mit hoheitlichen Aufgaben und</w:t>
      </w:r>
    </w:p>
    <w:p>
      <w:pPr>
        <w:ind w:left="780"/>
      </w:pPr>
      <w:r>
        <w:t xml:space="preserve">b) die Zusammenarbeit dieser Behörden mit den sonst nach Landesrecht zuständigen Behörden.</w:t>
      </w:r>
    </w:p>
    <w:p>
      <w:r>
        <w:t xml:space="preserve">(2) Das Bundesministerium für Gesundheit wird ermächtigt, im Einvernehmen mit dem Bundesministerium für Verkehr und digitale Infrastruktur, dem Bundesministerium für Wirtschaft und Energie sowie dem Bundesministerium des Innern, für Bau und Heimat mit Zustimmung des Bundesrates durch Rechtsverordnung die Aussteigekarte in Anlage 1 oder das Gebührenverzeichnis in Anlage 2 zu ändern oder zu ergänzen, wenn dies zur Anpassung an internationale Standards oder zur Anpassung der Gebührensätze erforderlich ist.</w:t>
      </w:r>
    </w:p>
    <w:p>
      <w:r>
        <w:rPr>
          <w:color w:val="555555"/>
          <w:sz w:val="17"/>
        </w:rPr>
        <w:t xml:space="preserve">Zitiervorschlag: § 20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