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IGV-DG — Freie Verkehrserlaubnis (free pratique) (zu Artikel 28 Absatz 2 und 3, Artikel 27 Absatz 1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Der Hafenärztliche Dienst hat einem Schiff bei der Ankunft eine Freie Verkehrserlaubnis (free pratique) zu erteilen, wenn</w:t>
      </w:r>
    </w:p>
    <w:p>
      <w:pPr>
        <w:ind w:left="420"/>
      </w:pPr>
      <w:r>
        <w:t xml:space="preserve">1. eine nach § 15 erforderliche Seegesundheitserklärung abgegeben wurde und alle Fragen zur Gesundheit verneint wurden,</w:t>
      </w:r>
    </w:p>
    <w:p>
      <w:pPr>
        <w:ind w:left="420"/>
      </w:pPr>
      <w:r>
        <w:t xml:space="preserve">2. eine nach § 19 erforderliche gültige Schiffshygienebescheinigung vorgelegt wurde und</w:t>
      </w:r>
    </w:p>
    <w:p>
      <w:pPr>
        <w:ind w:left="420"/>
      </w:pPr>
      <w:r>
        <w:t xml:space="preserve">3. es an Bord keine Anzeichen für eine Gefahr für die öffentliche Gesundheit gibt.</w:t>
      </w:r>
    </w:p>
    <w:p>
      <w:r>
        <w:t xml:space="preserve">(2) Ein Schiff soll bereits vor seiner Ankunft im Hafen auf dem Funkweg oder über andere Kommunikationsmittel eine widerrufliche vorläufige Freie Verkehrserlaubnis erhalten, wenn der Hafenärztliche Dienst auf Grund der vor der Ankunft erhaltenen Informationen der Auffassung ist, dass durch die Ankunft des Schiffes keine Krankheit eingeschleppt oder verbreitet wird.</w:t>
      </w:r>
    </w:p>
    <w:p>
      <w:r>
        <w:t xml:space="preserve">(3) Wenn mindestens eine der Fragen über die Gesundheit in der Seegesundheitserklärung bejaht wird, wird ein Schiff bei der Ankunft durch den zuständigen Hafenärztlichen Dienst untersucht.</w:t>
      </w:r>
    </w:p>
    <w:p>
      <w:r>
        <w:t xml:space="preserve">(4) Wenn an Bord eine Infektions- oder Verseuchungsquelle festgestellt wird, kann der Hafenärztliche Dienst die Erteilung einer Freien Verkehrserlaubnis von der Bedingung abhängig machen, dass die notwendigen Gesundheitsmaßnahmen zufriedenstellend durchgeführt wurden.</w:t>
      </w:r>
    </w:p>
    <w:p>
      <w:r>
        <w:t xml:space="preserve">(5) Das Schiff ist in den Fällen der Absätze 3 und 4 bis zur Erteilung der vorläufigen oder endgültigen Freien Verkehrserlaubnis für den öffentlichen Verkehr gesperrt. Über die endgültige Freie Verkehrserlaubnis stellt der zuständige Hafenärztliche Dienst der Schiffsführerin oder dem Schiffsführer eine Bescheinigung aus.</w:t>
      </w:r>
    </w:p>
    <w:p>
      <w:r>
        <w:t xml:space="preserve">(6) Für individuell zurechenbare öffentliche Leistungen nach den Absätzen 1 bis 5 werden von den Eigentümerinnen und Eigentümern der Schiffe zur Deckung des Verwaltungsaufwandes Gebühren und Auslagen nach dem Gebührenverzeichnis der Anlage 2 erhoben. Für die Angemessenheit der Kostensätze gilt § 19 Absatz 7 Satz 3 entsprechend.</w:t>
      </w:r>
    </w:p>
    <w:p>
      <w:r>
        <w:rPr>
          <w:color w:val="555555"/>
          <w:sz w:val="17"/>
        </w:rPr>
        <w:t xml:space="preserve">Zitiervorschlag: § 18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