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IGV-DG — Meldeverfahren für verantwortliche Luftfahrzeugführerinnen und Luftfahrzeugführer bei Erkrankungsfällen oder Anzeichen an Bord für eine erhebliche Gefahr für die öffentliche Gesundheit (zu Artikel 28 Absatz 4, Artikel 38 Absatz 2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Die verantwortliche Führerin oder der verantwortliche Führer eines Luftfahrzeugs mit einem inländischen Zielflughafen oder der oder die Beauftragte hat der Flugverkehrskontrollstelle, mit der sie oder er in Funkkontakt steht, und der Verkehrsleiterin oder dem Verkehrsleiter des Luftfahrtunternehmens auf dem Zielflughafen unverzüglich zu melden, wenn sie oder er erfährt,</w:t>
      </w:r>
    </w:p>
    <w:p>
      <w:pPr>
        <w:ind w:left="420"/>
      </w:pPr>
      <w:r>
        <w:t xml:space="preserve">1. dass eine Person an Bord ist, bei der klinische Anzeichen auf das Vorliegen einer übertragbaren Krankheit hindeuten, die die öffentliche Gesundheit erheblich gefährdet, oder</w:t>
      </w:r>
    </w:p>
    <w:p>
      <w:pPr>
        <w:ind w:left="420"/>
      </w:pPr>
      <w:r>
        <w:t xml:space="preserve">2. dass an Bord sonstige Anzeichen für eine erhebliche Gefahr für die öffentliche Gesundheit bestehen.</w:t>
      </w:r>
    </w:p>
    <w:p>
      <w:r>
        <w:t xml:space="preserve">Satz 1 gilt abweichend von § 1 Absatz 2 auch bei Luftfahrzeugen, die sich auf einer Inlandsreise befinden.</w:t>
      </w:r>
    </w:p>
    <w:p>
      <w:r>
        <w:t xml:space="preserve">(2) Die Meldung muss mindestens folgende Angaben enthalten:</w:t>
      </w:r>
    </w:p>
    <w:p>
      <w:pPr>
        <w:ind w:left="420"/>
      </w:pPr>
      <w:r>
        <w:t xml:space="preserve">1. Funkrufzeichen,</w:t>
      </w:r>
    </w:p>
    <w:p>
      <w:pPr>
        <w:ind w:left="420"/>
      </w:pPr>
      <w:r>
        <w:t xml:space="preserve">2. Start- und Zielflughafen,</w:t>
      </w:r>
    </w:p>
    <w:p>
      <w:pPr>
        <w:ind w:left="420"/>
      </w:pPr>
      <w:r>
        <w:t xml:space="preserve">3. voraussichtliche Ankunftszeit,</w:t>
      </w:r>
    </w:p>
    <w:p>
      <w:pPr>
        <w:ind w:left="420"/>
      </w:pPr>
      <w:r>
        <w:t xml:space="preserve">4. Zahl der Personen an Bord,</w:t>
      </w:r>
    </w:p>
    <w:p>
      <w:pPr>
        <w:ind w:left="420"/>
      </w:pPr>
      <w:r>
        <w:t xml:space="preserve">5. Zahl und Art der vermuteten Krankheitsfälle an Bord und</w:t>
      </w:r>
    </w:p>
    <w:p>
      <w:pPr>
        <w:ind w:left="420"/>
      </w:pPr>
      <w:r>
        <w:t xml:space="preserve">6. Art der Gefahr für die öffentliche Gesundheit, wenn bekannt.</w:t>
      </w:r>
    </w:p>
    <w:p>
      <w:r>
        <w:t xml:space="preserve">(3) Die Flugverkehrskontrollstelle und die Verkehrsleiterin oder der Verkehrsleiter am Zielflughafen leiten die Meldung unverzüglich an die im Notfallplan des Flughafens festgelegten Stellen weiter. Diese informieren unverzüglich das für den Flughafen zuständige Gesundheitsamt.</w:t>
      </w:r>
    </w:p>
    <w:p>
      <w:r>
        <w:t xml:space="preserve">(4) Auf Verlangen des zuständigen Gesundheitsamtes hat das Luftfahrtunternehmen von der verantwortlichen Luftfahrzeugführerin oder dem verantwortlichen Luftfahrzeugführer unverzüglich ergänzende Angaben über die gesundheitlichen Verhältnisse an Bord und die angewandten Gesundheitsmaßnahmen einzuholen und dem zuständigen Gesundheitsamt zu übermitteln. Ist das Luftfahrtunternehmen nicht erreichbar, soll die Flugverkehrskontrollstelle auf Verlangen des zuständigen Gesundheitsamtes die ergänzenden Angaben einholen und übermitteln.</w:t>
      </w:r>
    </w:p>
    <w:p>
      <w:r>
        <w:t xml:space="preserve">(5) Auf Meldungen nach Absatz 1, die sich auf eine übertragbare Krankheit beziehen, findet § 11 Absatz 1 und 2 des Infektionsschutzgesetzes entsprechende Anwendung. Für die Übermittlung an die zuständige Landesbehörde ist das Gesundheitsamt zuständig, das die Meldung erhalten hat.</w:t>
      </w:r>
    </w:p>
    <w:p>
      <w:r>
        <w:rPr>
          <w:color w:val="555555"/>
          <w:sz w:val="17"/>
        </w:rPr>
        <w:t xml:space="preserve">Zitiervorschlag: § 11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